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76B98">
      <w:pPr>
        <w:autoSpaceDE w:val="0"/>
        <w:autoSpaceDN w:val="0"/>
        <w:spacing w:line="360" w:lineRule="auto"/>
        <w:jc w:val="center"/>
        <w:rPr>
          <w:rFonts w:hint="eastAsia" w:ascii="宋体" w:eastAsia="宋体"/>
          <w:b/>
          <w:color w:val="auto"/>
          <w:sz w:val="44"/>
          <w:szCs w:val="44"/>
          <w:highlight w:val="none"/>
          <w:lang w:eastAsia="zh-CN"/>
        </w:rPr>
      </w:pPr>
      <w:r>
        <w:rPr>
          <w:rFonts w:hint="eastAsia" w:ascii="宋体" w:hAnsi="宋体"/>
          <w:b/>
          <w:color w:val="auto"/>
          <w:sz w:val="44"/>
          <w:szCs w:val="44"/>
          <w:highlight w:val="none"/>
        </w:rPr>
        <w:t>甘肃酒钢集团宏兴钢铁股份有限公司</w:t>
      </w:r>
      <w:r>
        <w:rPr>
          <w:rFonts w:hint="eastAsia" w:ascii="宋体" w:hAnsi="宋体"/>
          <w:b/>
          <w:color w:val="auto"/>
          <w:sz w:val="44"/>
          <w:szCs w:val="44"/>
          <w:highlight w:val="none"/>
          <w:lang w:eastAsia="zh-CN"/>
        </w:rPr>
        <w:t>炼铁厂</w:t>
      </w:r>
    </w:p>
    <w:p w14:paraId="4BB32E58">
      <w:pPr>
        <w:snapToGrid w:val="0"/>
        <w:spacing w:line="360" w:lineRule="auto"/>
        <w:ind w:right="2" w:rightChars="1"/>
        <w:jc w:val="center"/>
        <w:rPr>
          <w:rFonts w:ascii="宋体" w:hAnsi="宋体"/>
          <w:b/>
          <w:color w:val="auto"/>
          <w:sz w:val="36"/>
          <w:szCs w:val="36"/>
          <w:highlight w:val="none"/>
        </w:rPr>
      </w:pPr>
    </w:p>
    <w:p w14:paraId="5DD40BFA">
      <w:pPr>
        <w:snapToGrid w:val="0"/>
        <w:spacing w:line="360" w:lineRule="auto"/>
        <w:ind w:right="2" w:rightChars="1"/>
        <w:jc w:val="center"/>
        <w:rPr>
          <w:rFonts w:ascii="宋体" w:hAnsi="宋体"/>
          <w:b/>
          <w:color w:val="auto"/>
          <w:sz w:val="36"/>
          <w:szCs w:val="36"/>
          <w:highlight w:val="none"/>
        </w:rPr>
      </w:pPr>
    </w:p>
    <w:p w14:paraId="30716A67">
      <w:pPr>
        <w:autoSpaceDE w:val="0"/>
        <w:autoSpaceDN w:val="0"/>
        <w:spacing w:line="360" w:lineRule="auto"/>
        <w:jc w:val="center"/>
        <w:rPr>
          <w:rFonts w:hint="eastAsia" w:ascii="宋体" w:hAnsi="宋体" w:cs="宋体"/>
          <w:b/>
          <w:bCs/>
          <w:color w:val="auto"/>
          <w:sz w:val="36"/>
          <w:szCs w:val="36"/>
          <w:highlight w:val="none"/>
          <w:lang w:val="zh-CN" w:eastAsia="zh-CN"/>
        </w:rPr>
      </w:pPr>
      <w:r>
        <w:rPr>
          <w:rFonts w:hint="eastAsia" w:ascii="宋体" w:hAnsi="宋体" w:cs="宋体"/>
          <w:b/>
          <w:bCs/>
          <w:color w:val="auto"/>
          <w:sz w:val="36"/>
          <w:szCs w:val="36"/>
          <w:highlight w:val="none"/>
          <w:lang w:val="zh-CN" w:eastAsia="zh-CN"/>
        </w:rPr>
        <w:t>用户IO板\ASY01-PC2101-TF5</w:t>
      </w:r>
    </w:p>
    <w:p w14:paraId="7AC114EE">
      <w:pPr>
        <w:autoSpaceDE w:val="0"/>
        <w:autoSpaceDN w:val="0"/>
        <w:spacing w:line="360" w:lineRule="auto"/>
        <w:jc w:val="center"/>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zh-CN" w:eastAsia="zh-CN"/>
        </w:rPr>
        <w:t>（</w:t>
      </w:r>
      <w:r>
        <w:rPr>
          <w:rFonts w:hint="eastAsia" w:ascii="宋体" w:hAnsi="宋体" w:cs="宋体"/>
          <w:b/>
          <w:bCs/>
          <w:color w:val="auto"/>
          <w:sz w:val="36"/>
          <w:szCs w:val="36"/>
          <w:highlight w:val="none"/>
          <w:lang w:val="en-US" w:eastAsia="zh-CN"/>
        </w:rPr>
        <w:t>70306587</w:t>
      </w:r>
      <w:r>
        <w:rPr>
          <w:rFonts w:hint="eastAsia" w:ascii="宋体" w:hAnsi="宋体" w:cs="宋体"/>
          <w:b/>
          <w:bCs/>
          <w:color w:val="auto"/>
          <w:sz w:val="36"/>
          <w:szCs w:val="36"/>
          <w:highlight w:val="none"/>
          <w:lang w:val="zh-CN" w:eastAsia="zh-CN"/>
        </w:rPr>
        <w:t>）</w:t>
      </w:r>
    </w:p>
    <w:p w14:paraId="27D05DE0">
      <w:pPr>
        <w:autoSpaceDE w:val="0"/>
        <w:autoSpaceDN w:val="0"/>
        <w:spacing w:line="360" w:lineRule="auto"/>
        <w:jc w:val="center"/>
        <w:rPr>
          <w:rFonts w:hint="eastAsia" w:ascii="宋体" w:hAnsi="宋体" w:cs="宋体"/>
          <w:b/>
          <w:bCs/>
          <w:color w:val="auto"/>
          <w:sz w:val="36"/>
          <w:szCs w:val="36"/>
          <w:highlight w:val="none"/>
          <w:lang w:val="zh-CN"/>
        </w:rPr>
      </w:pPr>
      <w:r>
        <w:rPr>
          <w:rFonts w:hint="eastAsia" w:ascii="宋体" w:hAnsi="宋体" w:cs="宋体"/>
          <w:b/>
          <w:bCs/>
          <w:color w:val="auto"/>
          <w:sz w:val="36"/>
          <w:szCs w:val="36"/>
          <w:highlight w:val="none"/>
          <w:lang w:val="zh-CN"/>
        </w:rPr>
        <w:t>技术规格书</w:t>
      </w:r>
    </w:p>
    <w:p w14:paraId="5A1D295A">
      <w:pPr>
        <w:jc w:val="center"/>
        <w:rPr>
          <w:color w:val="auto"/>
          <w:highlight w:val="none"/>
        </w:rPr>
      </w:pPr>
    </w:p>
    <w:p w14:paraId="66FC2BCD">
      <w:pPr>
        <w:rPr>
          <w:color w:val="auto"/>
          <w:highlight w:val="none"/>
        </w:rPr>
      </w:pPr>
    </w:p>
    <w:p w14:paraId="5CDF4B04">
      <w:pPr>
        <w:rPr>
          <w:color w:val="auto"/>
          <w:highlight w:val="none"/>
        </w:rPr>
      </w:pPr>
    </w:p>
    <w:p w14:paraId="7AF3D2C3">
      <w:pPr>
        <w:rPr>
          <w:color w:val="auto"/>
          <w:highlight w:val="none"/>
        </w:rPr>
      </w:pPr>
    </w:p>
    <w:p w14:paraId="1A051585">
      <w:pPr>
        <w:rPr>
          <w:color w:val="auto"/>
          <w:highlight w:val="none"/>
        </w:rPr>
      </w:pPr>
    </w:p>
    <w:p w14:paraId="0D7529C5">
      <w:pPr>
        <w:rPr>
          <w:color w:val="auto"/>
          <w:highlight w:val="none"/>
        </w:rPr>
      </w:pPr>
    </w:p>
    <w:p w14:paraId="30EC27C2">
      <w:pPr>
        <w:rPr>
          <w:color w:val="auto"/>
          <w:highlight w:val="none"/>
        </w:rPr>
      </w:pPr>
    </w:p>
    <w:p w14:paraId="48C69C35">
      <w:pPr>
        <w:rPr>
          <w:color w:val="auto"/>
          <w:highlight w:val="none"/>
        </w:rPr>
      </w:pPr>
    </w:p>
    <w:p w14:paraId="6CDEC169">
      <w:pPr>
        <w:rPr>
          <w:color w:val="auto"/>
          <w:highlight w:val="none"/>
        </w:rPr>
      </w:pPr>
    </w:p>
    <w:p w14:paraId="2A6D777F">
      <w:pPr>
        <w:rPr>
          <w:color w:val="auto"/>
          <w:highlight w:val="none"/>
        </w:rPr>
      </w:pPr>
    </w:p>
    <w:p w14:paraId="0BD66B54">
      <w:pPr>
        <w:rPr>
          <w:color w:val="auto"/>
          <w:highlight w:val="none"/>
        </w:rPr>
      </w:pPr>
    </w:p>
    <w:p w14:paraId="6385AF7E">
      <w:pPr>
        <w:rPr>
          <w:color w:val="auto"/>
          <w:highlight w:val="none"/>
        </w:rPr>
      </w:pPr>
    </w:p>
    <w:p w14:paraId="5AF48E84">
      <w:pPr>
        <w:rPr>
          <w:color w:val="auto"/>
          <w:highlight w:val="none"/>
        </w:rPr>
      </w:pPr>
    </w:p>
    <w:p w14:paraId="0420F15F">
      <w:pPr>
        <w:snapToGrid w:val="0"/>
        <w:spacing w:line="360" w:lineRule="auto"/>
        <w:ind w:right="2" w:rightChars="1" w:firstLine="703" w:firstLineChars="250"/>
        <w:rPr>
          <w:rFonts w:ascii="仿宋" w:hAnsi="仿宋" w:eastAsia="仿宋" w:cs="仿宋"/>
          <w:b/>
          <w:sz w:val="28"/>
          <w:szCs w:val="28"/>
        </w:rPr>
      </w:pPr>
      <w:r>
        <w:rPr>
          <w:rFonts w:hint="eastAsia" w:ascii="仿宋" w:hAnsi="仿宋" w:eastAsia="仿宋" w:cs="仿宋"/>
          <w:b/>
          <w:sz w:val="28"/>
          <w:szCs w:val="28"/>
        </w:rPr>
        <w:t>甲方：甘肃酒钢集团宏兴钢铁股份有限公司炼铁厂</w:t>
      </w:r>
    </w:p>
    <w:p w14:paraId="21DEEB10">
      <w:pPr>
        <w:spacing w:before="100" w:beforeAutospacing="1" w:after="100" w:afterAutospacing="1" w:line="360" w:lineRule="auto"/>
        <w:ind w:firstLine="722" w:firstLineChars="257"/>
        <w:rPr>
          <w:rFonts w:ascii="仿宋" w:hAnsi="仿宋" w:eastAsia="仿宋" w:cs="仿宋"/>
          <w:b/>
          <w:bCs/>
          <w:sz w:val="28"/>
          <w:szCs w:val="28"/>
        </w:rPr>
      </w:pPr>
      <w:r>
        <w:rPr>
          <w:rFonts w:hint="eastAsia" w:ascii="仿宋" w:hAnsi="仿宋" w:eastAsia="仿宋" w:cs="仿宋"/>
          <w:b/>
          <w:bCs/>
          <w:sz w:val="28"/>
          <w:szCs w:val="28"/>
        </w:rPr>
        <w:t>甲方代表（签字）：</w:t>
      </w:r>
    </w:p>
    <w:p w14:paraId="2F201C2B">
      <w:pPr>
        <w:spacing w:before="100" w:beforeAutospacing="1" w:after="100" w:afterAutospacing="1" w:line="360" w:lineRule="auto"/>
        <w:ind w:firstLine="722" w:firstLineChars="257"/>
        <w:rPr>
          <w:rFonts w:ascii="仿宋" w:hAnsi="仿宋" w:eastAsia="仿宋" w:cs="仿宋"/>
          <w:b/>
          <w:sz w:val="28"/>
          <w:szCs w:val="28"/>
        </w:rPr>
      </w:pPr>
      <w:r>
        <w:rPr>
          <w:rFonts w:hint="eastAsia" w:ascii="仿宋" w:hAnsi="仿宋" w:eastAsia="仿宋" w:cs="仿宋"/>
          <w:b/>
          <w:sz w:val="28"/>
          <w:szCs w:val="28"/>
        </w:rPr>
        <w:t>乙方：</w:t>
      </w:r>
      <w:r>
        <w:rPr>
          <w:rFonts w:ascii="仿宋" w:hAnsi="仿宋" w:eastAsia="仿宋" w:cs="仿宋"/>
          <w:b/>
          <w:sz w:val="28"/>
          <w:szCs w:val="28"/>
        </w:rPr>
        <w:t xml:space="preserve"> </w:t>
      </w:r>
    </w:p>
    <w:p w14:paraId="05B2B9B5">
      <w:pPr>
        <w:snapToGrid w:val="0"/>
        <w:spacing w:before="100" w:beforeAutospacing="1" w:after="100" w:afterAutospacing="1" w:line="360" w:lineRule="auto"/>
        <w:ind w:right="-447" w:firstLine="722" w:firstLineChars="257"/>
        <w:rPr>
          <w:rFonts w:ascii="仿宋" w:hAnsi="仿宋" w:eastAsia="仿宋" w:cs="仿宋"/>
          <w:b/>
          <w:sz w:val="28"/>
          <w:szCs w:val="28"/>
        </w:rPr>
      </w:pPr>
      <w:r>
        <w:rPr>
          <w:rFonts w:hint="eastAsia" w:ascii="仿宋" w:hAnsi="仿宋" w:eastAsia="仿宋" w:cs="仿宋"/>
          <w:b/>
          <w:sz w:val="28"/>
          <w:szCs w:val="28"/>
        </w:rPr>
        <w:t>乙方代表（签字）：</w:t>
      </w:r>
    </w:p>
    <w:p w14:paraId="0CDCEEF0">
      <w:pPr>
        <w:snapToGrid w:val="0"/>
        <w:spacing w:before="100" w:beforeAutospacing="1" w:after="100" w:afterAutospacing="1" w:line="360" w:lineRule="auto"/>
        <w:ind w:right="-447" w:firstLine="301" w:firstLineChars="100"/>
        <w:rPr>
          <w:rFonts w:hint="eastAsia" w:ascii="仿宋" w:hAnsi="仿宋" w:eastAsia="仿宋" w:cs="仿宋"/>
          <w:b/>
          <w:sz w:val="30"/>
          <w:lang w:val="en-US" w:eastAsia="zh-CN"/>
        </w:rPr>
      </w:pPr>
    </w:p>
    <w:p w14:paraId="05F20E8C">
      <w:pPr>
        <w:snapToGrid w:val="0"/>
        <w:spacing w:before="100" w:beforeAutospacing="1" w:after="100" w:afterAutospacing="1" w:line="360" w:lineRule="auto"/>
        <w:ind w:right="-447" w:firstLine="6325" w:firstLineChars="2100"/>
        <w:rPr>
          <w:rFonts w:ascii="宋体" w:hAnsi="宋体"/>
          <w:b/>
          <w:color w:val="auto"/>
          <w:sz w:val="36"/>
          <w:szCs w:val="36"/>
          <w:highlight w:val="none"/>
        </w:rPr>
      </w:pPr>
      <w:r>
        <w:rPr>
          <w:rFonts w:hint="eastAsia" w:ascii="仿宋" w:hAnsi="仿宋" w:eastAsia="仿宋" w:cs="仿宋"/>
          <w:b/>
          <w:sz w:val="30"/>
          <w:lang w:val="en-US" w:eastAsia="zh-CN"/>
        </w:rPr>
        <w:t>2025</w:t>
      </w:r>
      <w:r>
        <w:rPr>
          <w:rFonts w:hint="eastAsia" w:ascii="仿宋" w:hAnsi="仿宋" w:eastAsia="仿宋" w:cs="仿宋"/>
          <w:b/>
          <w:sz w:val="30"/>
        </w:rPr>
        <w:t>年</w:t>
      </w:r>
      <w:r>
        <w:rPr>
          <w:rFonts w:hint="eastAsia" w:ascii="仿宋" w:hAnsi="仿宋" w:eastAsia="仿宋" w:cs="仿宋"/>
          <w:b/>
          <w:sz w:val="30"/>
          <w:lang w:val="en-US" w:eastAsia="zh-CN"/>
        </w:rPr>
        <w:t>11</w:t>
      </w:r>
      <w:r>
        <w:rPr>
          <w:rFonts w:hint="eastAsia" w:ascii="仿宋" w:hAnsi="仿宋" w:eastAsia="仿宋" w:cs="仿宋"/>
          <w:b/>
          <w:sz w:val="30"/>
        </w:rPr>
        <w:t xml:space="preserve">月 </w:t>
      </w:r>
      <w:r>
        <w:rPr>
          <w:rFonts w:hint="eastAsia" w:ascii="仿宋" w:hAnsi="仿宋" w:eastAsia="仿宋" w:cs="仿宋"/>
          <w:b/>
          <w:sz w:val="30"/>
          <w:lang w:val="en-US" w:eastAsia="zh-CN"/>
        </w:rPr>
        <w:t>17</w:t>
      </w:r>
      <w:r>
        <w:rPr>
          <w:rFonts w:hint="eastAsia" w:ascii="仿宋" w:hAnsi="仿宋" w:eastAsia="仿宋" w:cs="仿宋"/>
          <w:b/>
          <w:sz w:val="30"/>
        </w:rPr>
        <w:t>日</w:t>
      </w:r>
    </w:p>
    <w:p w14:paraId="27E1120D">
      <w:pPr>
        <w:snapToGrid w:val="0"/>
        <w:spacing w:before="100" w:beforeAutospacing="1" w:after="100" w:afterAutospacing="1" w:line="360" w:lineRule="auto"/>
        <w:ind w:right="-447"/>
        <w:rPr>
          <w:rFonts w:ascii="宋体" w:hAnsi="宋体"/>
          <w:b/>
          <w:color w:val="auto"/>
          <w:sz w:val="32"/>
          <w:szCs w:val="32"/>
          <w:highlight w:val="none"/>
        </w:rPr>
      </w:pPr>
    </w:p>
    <w:p w14:paraId="3DCC1E87">
      <w:pPr>
        <w:spacing w:line="360" w:lineRule="auto"/>
        <w:ind w:firstLine="3791" w:firstLineChars="1049"/>
        <w:rPr>
          <w:rFonts w:ascii="宋体" w:hAnsi="宋体"/>
          <w:b/>
          <w:color w:val="auto"/>
          <w:sz w:val="36"/>
          <w:szCs w:val="36"/>
          <w:highlight w:val="none"/>
        </w:rPr>
      </w:pPr>
    </w:p>
    <w:p w14:paraId="755B151F">
      <w:pPr>
        <w:spacing w:line="360" w:lineRule="auto"/>
        <w:ind w:firstLine="3791" w:firstLineChars="1049"/>
        <w:rPr>
          <w:rFonts w:ascii="宋体" w:hAnsi="宋体"/>
          <w:b/>
          <w:color w:val="auto"/>
          <w:sz w:val="36"/>
          <w:szCs w:val="36"/>
          <w:highlight w:val="none"/>
        </w:rPr>
      </w:pPr>
      <w:r>
        <w:rPr>
          <w:rFonts w:hint="eastAsia" w:ascii="宋体" w:hAnsi="宋体"/>
          <w:b/>
          <w:color w:val="auto"/>
          <w:sz w:val="36"/>
          <w:szCs w:val="36"/>
          <w:highlight w:val="none"/>
        </w:rPr>
        <w:t>目    录</w:t>
      </w:r>
    </w:p>
    <w:p w14:paraId="6BD07E17">
      <w:pPr>
        <w:spacing w:line="360" w:lineRule="auto"/>
        <w:ind w:firstLine="3791" w:firstLineChars="1049"/>
        <w:rPr>
          <w:rFonts w:ascii="宋体" w:hAnsi="宋体"/>
          <w:b/>
          <w:color w:val="auto"/>
          <w:sz w:val="36"/>
          <w:szCs w:val="36"/>
          <w:highlight w:val="none"/>
        </w:rPr>
      </w:pPr>
    </w:p>
    <w:p w14:paraId="072AD43C">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附件一    总则</w:t>
      </w:r>
    </w:p>
    <w:p w14:paraId="62C06D00">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附件二    制造要求</w:t>
      </w:r>
    </w:p>
    <w:p w14:paraId="2C6CDF38">
      <w:pPr>
        <w:spacing w:before="100" w:beforeAutospacing="1" w:after="100" w:afterAutospacing="1" w:line="480" w:lineRule="auto"/>
        <w:ind w:firstLine="2458" w:firstLineChars="900"/>
        <w:rPr>
          <w:rFonts w:ascii="宋体" w:hAnsi="宋体"/>
          <w:b/>
          <w:color w:val="auto"/>
          <w:spacing w:val="-4"/>
          <w:kern w:val="28"/>
          <w:sz w:val="28"/>
          <w:szCs w:val="28"/>
          <w:highlight w:val="none"/>
        </w:rPr>
      </w:pPr>
      <w:r>
        <w:rPr>
          <w:rFonts w:hint="eastAsia" w:ascii="宋体" w:hAnsi="宋体"/>
          <w:b/>
          <w:color w:val="auto"/>
          <w:spacing w:val="-4"/>
          <w:kern w:val="28"/>
          <w:sz w:val="28"/>
          <w:szCs w:val="28"/>
          <w:highlight w:val="none"/>
        </w:rPr>
        <w:t>附件三    系统设施供货范围</w:t>
      </w:r>
    </w:p>
    <w:p w14:paraId="40B211C5">
      <w:pPr>
        <w:tabs>
          <w:tab w:val="left" w:pos="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附件四    提供资料</w:t>
      </w:r>
    </w:p>
    <w:p w14:paraId="21D0C6FA">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附件五    售后服务</w:t>
      </w:r>
    </w:p>
    <w:p w14:paraId="2EEF0539">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附件六    交货时间及地点</w:t>
      </w:r>
    </w:p>
    <w:p w14:paraId="45555504">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附件七    其它</w:t>
      </w:r>
    </w:p>
    <w:p w14:paraId="6D6E7D7F">
      <w:pPr>
        <w:snapToGrid w:val="0"/>
        <w:spacing w:before="100" w:beforeAutospacing="1" w:after="100" w:afterAutospacing="1" w:line="360" w:lineRule="auto"/>
        <w:ind w:right="-447"/>
        <w:rPr>
          <w:rFonts w:ascii="宋体" w:hAnsi="宋体"/>
          <w:b/>
          <w:color w:val="auto"/>
          <w:sz w:val="32"/>
          <w:szCs w:val="32"/>
          <w:highlight w:val="none"/>
        </w:rPr>
      </w:pPr>
    </w:p>
    <w:p w14:paraId="739F6709">
      <w:pPr>
        <w:rPr>
          <w:color w:val="auto"/>
          <w:highlight w:val="none"/>
        </w:rPr>
      </w:pPr>
    </w:p>
    <w:p w14:paraId="587AF1B9">
      <w:pPr>
        <w:rPr>
          <w:color w:val="auto"/>
          <w:highlight w:val="none"/>
        </w:rPr>
      </w:pPr>
    </w:p>
    <w:p w14:paraId="4B3C38AE">
      <w:pPr>
        <w:rPr>
          <w:color w:val="auto"/>
          <w:highlight w:val="none"/>
        </w:rPr>
      </w:pPr>
    </w:p>
    <w:p w14:paraId="0EC3C1B2">
      <w:pPr>
        <w:rPr>
          <w:color w:val="auto"/>
          <w:highlight w:val="none"/>
        </w:rPr>
      </w:pPr>
    </w:p>
    <w:p w14:paraId="1725A67E">
      <w:pPr>
        <w:rPr>
          <w:color w:val="auto"/>
          <w:highlight w:val="none"/>
        </w:rPr>
      </w:pPr>
    </w:p>
    <w:p w14:paraId="4E00CA42">
      <w:pPr>
        <w:rPr>
          <w:color w:val="auto"/>
          <w:highlight w:val="none"/>
        </w:rPr>
      </w:pPr>
    </w:p>
    <w:p w14:paraId="7AA70763">
      <w:pPr>
        <w:rPr>
          <w:color w:val="auto"/>
          <w:highlight w:val="none"/>
        </w:rPr>
      </w:pPr>
    </w:p>
    <w:p w14:paraId="29978C93">
      <w:pPr>
        <w:rPr>
          <w:color w:val="auto"/>
          <w:highlight w:val="none"/>
        </w:rPr>
      </w:pPr>
    </w:p>
    <w:p w14:paraId="65140524">
      <w:pPr>
        <w:snapToGrid w:val="0"/>
        <w:spacing w:line="360" w:lineRule="auto"/>
        <w:ind w:right="-15"/>
        <w:rPr>
          <w:rFonts w:ascii="宋体" w:hAnsi="宋体"/>
          <w:color w:val="auto"/>
          <w:sz w:val="21"/>
          <w:szCs w:val="21"/>
          <w:highlight w:val="none"/>
        </w:rPr>
      </w:pPr>
    </w:p>
    <w:p w14:paraId="6AD97794">
      <w:pPr>
        <w:snapToGrid w:val="0"/>
        <w:spacing w:line="360" w:lineRule="auto"/>
        <w:ind w:right="-15"/>
        <w:rPr>
          <w:rFonts w:ascii="宋体" w:hAnsi="宋体"/>
          <w:color w:val="auto"/>
          <w:sz w:val="21"/>
          <w:szCs w:val="21"/>
          <w:highlight w:val="none"/>
        </w:rPr>
      </w:pPr>
    </w:p>
    <w:p w14:paraId="3F6EE7A2">
      <w:pPr>
        <w:snapToGrid w:val="0"/>
        <w:spacing w:line="360" w:lineRule="auto"/>
        <w:ind w:right="-15" w:firstLine="420" w:firstLineChars="200"/>
        <w:rPr>
          <w:rFonts w:ascii="宋体" w:hAnsi="宋体"/>
          <w:b/>
          <w:color w:val="auto"/>
          <w:sz w:val="21"/>
          <w:szCs w:val="21"/>
          <w:highlight w:val="none"/>
        </w:rPr>
      </w:pPr>
      <w:r>
        <w:rPr>
          <w:rFonts w:hint="eastAsia" w:ascii="宋体" w:hAnsi="宋体"/>
          <w:color w:val="auto"/>
          <w:sz w:val="21"/>
          <w:szCs w:val="21"/>
          <w:highlight w:val="none"/>
        </w:rPr>
        <w:t>甘肃酒钢集团宏兴钢铁股份有限公司</w:t>
      </w:r>
      <w:r>
        <w:rPr>
          <w:rFonts w:hint="eastAsia" w:ascii="宋体" w:hAnsi="宋体"/>
          <w:color w:val="auto"/>
          <w:sz w:val="21"/>
          <w:szCs w:val="21"/>
          <w:highlight w:val="none"/>
          <w:lang w:eastAsia="zh-CN"/>
        </w:rPr>
        <w:t>炼铁厂</w:t>
      </w:r>
      <w:r>
        <w:rPr>
          <w:rFonts w:hint="eastAsia" w:ascii="宋体" w:hAnsi="宋体"/>
          <w:color w:val="auto"/>
          <w:sz w:val="21"/>
          <w:szCs w:val="21"/>
          <w:highlight w:val="none"/>
        </w:rPr>
        <w:t>（以下称甲方）与</w:t>
      </w:r>
      <w:r>
        <w:rPr>
          <w:rFonts w:hint="eastAsia" w:ascii="宋体" w:hAnsi="宋体"/>
          <w:color w:val="auto"/>
          <w:szCs w:val="21"/>
          <w:highlight w:val="none"/>
          <w:u w:val="single"/>
        </w:rPr>
        <w:t xml:space="preserve">                     </w:t>
      </w:r>
      <w:r>
        <w:rPr>
          <w:rFonts w:hint="eastAsia" w:ascii="宋体" w:hAnsi="宋体"/>
          <w:color w:val="auto"/>
          <w:sz w:val="21"/>
          <w:szCs w:val="21"/>
          <w:highlight w:val="none"/>
        </w:rPr>
        <w:t>（以下称乙方）就甲方</w:t>
      </w:r>
      <w:r>
        <w:rPr>
          <w:rFonts w:hint="eastAsia" w:ascii="宋体" w:hAnsi="宋体" w:eastAsia="宋体"/>
          <w:color w:val="auto"/>
          <w:sz w:val="21"/>
          <w:szCs w:val="21"/>
          <w:highlight w:val="none"/>
          <w:lang w:val="zh-CN" w:eastAsia="zh-CN"/>
        </w:rPr>
        <w:t>用户IO板</w:t>
      </w:r>
      <w:r>
        <w:rPr>
          <w:rFonts w:hint="eastAsia" w:ascii="宋体" w:hAnsi="宋体"/>
          <w:color w:val="auto"/>
          <w:sz w:val="21"/>
          <w:szCs w:val="21"/>
          <w:highlight w:val="none"/>
        </w:rPr>
        <w:t>采购经双方协商，达成如下</w:t>
      </w:r>
      <w:r>
        <w:rPr>
          <w:rFonts w:hint="eastAsia" w:ascii="宋体" w:hAnsi="宋体"/>
          <w:color w:val="auto"/>
          <w:sz w:val="21"/>
          <w:szCs w:val="21"/>
          <w:highlight w:val="none"/>
          <w:lang w:eastAsia="zh-CN"/>
        </w:rPr>
        <w:t>技术规格书</w:t>
      </w:r>
      <w:r>
        <w:rPr>
          <w:rFonts w:hint="eastAsia" w:ascii="宋体" w:hAnsi="宋体"/>
          <w:color w:val="auto"/>
          <w:sz w:val="21"/>
          <w:szCs w:val="21"/>
          <w:highlight w:val="none"/>
        </w:rPr>
        <w:t>：</w:t>
      </w:r>
    </w:p>
    <w:p w14:paraId="3E7E23A1">
      <w:pPr>
        <w:adjustRightInd w:val="0"/>
        <w:spacing w:line="360" w:lineRule="auto"/>
        <w:jc w:val="left"/>
        <w:textAlignment w:val="baseline"/>
        <w:rPr>
          <w:rFonts w:hint="eastAsia" w:ascii="宋体" w:hAnsi="宋体"/>
          <w:b/>
          <w:color w:val="auto"/>
          <w:kern w:val="0"/>
          <w:szCs w:val="21"/>
          <w:highlight w:val="none"/>
        </w:rPr>
      </w:pPr>
      <w:r>
        <w:rPr>
          <w:rFonts w:hint="eastAsia" w:ascii="宋体" w:hAnsi="宋体"/>
          <w:color w:val="auto"/>
          <w:szCs w:val="21"/>
          <w:highlight w:val="none"/>
        </w:rPr>
        <w:t xml:space="preserve">附件一 </w:t>
      </w:r>
      <w:r>
        <w:rPr>
          <w:rFonts w:hint="eastAsia" w:ascii="宋体" w:hAnsi="宋体"/>
          <w:b/>
          <w:color w:val="auto"/>
          <w:kern w:val="0"/>
          <w:szCs w:val="21"/>
          <w:highlight w:val="none"/>
        </w:rPr>
        <w:t xml:space="preserve"> 总则</w:t>
      </w:r>
    </w:p>
    <w:p w14:paraId="24D627B0">
      <w:pPr>
        <w:tabs>
          <w:tab w:val="left" w:pos="1080"/>
        </w:tabs>
        <w:spacing w:line="360" w:lineRule="auto"/>
        <w:ind w:firstLine="525" w:firstLineChars="250"/>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作为甲方设备订货合同的附件，与订货合同同时生效，具有同等法律效力。合同执行期间双方再协商形成的补充</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和追加条款也具有同等法律效力。</w:t>
      </w:r>
    </w:p>
    <w:p w14:paraId="2C1023B9">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所提出的是最低标准的技术要求，并未对一切技术细节做出规定，也未充分引述有关标准和规范的条文，乙方应保证提供符合有关标准和技术文件的优质产品。</w:t>
      </w:r>
    </w:p>
    <w:p w14:paraId="3F367C30">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乙方提供的设备必须具有国内同行业近几年内的先进制造水平，采用先进工艺，合格材料，成熟的技术或专利技术。</w:t>
      </w:r>
    </w:p>
    <w:p w14:paraId="3DC50021">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乙方提供的设备必须是全新、规范、先进的高质量可靠产品，能够确保连续稳定的工作。</w:t>
      </w:r>
    </w:p>
    <w:p w14:paraId="2940E40B">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p>
    <w:p w14:paraId="65E0D6DF">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乙方须对设备设计的完整性、合理性和设计质量承担全部责任。保证设备满足系统工艺要求。</w:t>
      </w:r>
    </w:p>
    <w:p w14:paraId="6DE7D901">
      <w:pPr>
        <w:numPr>
          <w:ilvl w:val="0"/>
          <w:numId w:val="1"/>
        </w:numPr>
        <w:tabs>
          <w:tab w:val="left" w:pos="540"/>
          <w:tab w:val="left" w:pos="720"/>
          <w:tab w:val="left" w:pos="1080"/>
        </w:tabs>
        <w:spacing w:line="360" w:lineRule="auto"/>
        <w:ind w:firstLine="525" w:firstLineChars="250"/>
        <w:jc w:val="both"/>
        <w:rPr>
          <w:rFonts w:ascii="宋体" w:hAnsi="宋体"/>
          <w:color w:val="auto"/>
          <w:sz w:val="21"/>
          <w:szCs w:val="21"/>
          <w:highlight w:val="none"/>
        </w:rPr>
      </w:pPr>
      <w:r>
        <w:rPr>
          <w:rFonts w:hint="eastAsia" w:ascii="宋体" w:hAnsi="宋体"/>
          <w:color w:val="auto"/>
          <w:sz w:val="21"/>
          <w:szCs w:val="21"/>
          <w:highlight w:val="none"/>
        </w:rPr>
        <w:t>乙方在合同货物制造中，发生侵犯专利的行为时其侵权责任与甲方无关。</w:t>
      </w:r>
    </w:p>
    <w:p w14:paraId="6D944E2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附件二    制造要求</w:t>
      </w:r>
    </w:p>
    <w:p w14:paraId="76DB584C">
      <w:pPr>
        <w:spacing w:line="276" w:lineRule="auto"/>
        <w:ind w:firstLine="413" w:firstLineChars="196"/>
        <w:jc w:val="both"/>
        <w:rPr>
          <w:b/>
          <w:kern w:val="2"/>
          <w:sz w:val="21"/>
          <w:szCs w:val="21"/>
        </w:rPr>
      </w:pPr>
      <w:r>
        <w:rPr>
          <w:rFonts w:hint="eastAsia"/>
          <w:b/>
          <w:kern w:val="2"/>
          <w:sz w:val="21"/>
          <w:szCs w:val="21"/>
          <w:lang w:val="en-US" w:eastAsia="zh-CN"/>
        </w:rPr>
        <w:t>1</w:t>
      </w:r>
      <w:r>
        <w:rPr>
          <w:rFonts w:hint="eastAsia"/>
          <w:b/>
          <w:kern w:val="2"/>
          <w:sz w:val="21"/>
          <w:szCs w:val="21"/>
        </w:rPr>
        <w:t>．基本条件</w:t>
      </w:r>
    </w:p>
    <w:p w14:paraId="2CCD36E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.1当地标准和厂区自然条件</w:t>
      </w:r>
    </w:p>
    <w:p w14:paraId="3E8CFB78">
      <w:pPr>
        <w:spacing w:line="276" w:lineRule="auto"/>
        <w:ind w:firstLine="420" w:firstLineChars="200"/>
        <w:jc w:val="both"/>
        <w:rPr>
          <w:kern w:val="2"/>
          <w:sz w:val="21"/>
          <w:szCs w:val="21"/>
        </w:rPr>
      </w:pPr>
      <w:r>
        <w:rPr>
          <w:rFonts w:hint="eastAsia"/>
          <w:kern w:val="2"/>
          <w:sz w:val="21"/>
          <w:szCs w:val="21"/>
        </w:rPr>
        <w:t>除技术规格另有规定外，所有投标货物必需适应以下工作条件。</w:t>
      </w:r>
    </w:p>
    <w:p w14:paraId="7A3D762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.2厂区自然条件</w:t>
      </w:r>
    </w:p>
    <w:p w14:paraId="1A61727E">
      <w:pPr>
        <w:spacing w:line="276" w:lineRule="auto"/>
        <w:ind w:firstLine="420" w:firstLineChars="200"/>
        <w:jc w:val="both"/>
        <w:rPr>
          <w:kern w:val="2"/>
          <w:sz w:val="21"/>
          <w:szCs w:val="21"/>
        </w:rPr>
      </w:pPr>
      <w:r>
        <w:rPr>
          <w:rFonts w:hint="eastAsia"/>
          <w:kern w:val="2"/>
          <w:sz w:val="21"/>
          <w:szCs w:val="21"/>
        </w:rPr>
        <w:t>厂区所在地区为雨量小、蒸发大、温差大、多风沙的内陆干旱气候。</w:t>
      </w:r>
    </w:p>
    <w:p w14:paraId="1D334ECD">
      <w:pPr>
        <w:spacing w:line="276" w:lineRule="auto"/>
        <w:ind w:firstLine="420" w:firstLineChars="200"/>
        <w:jc w:val="both"/>
        <w:rPr>
          <w:kern w:val="2"/>
          <w:sz w:val="21"/>
          <w:szCs w:val="21"/>
        </w:rPr>
      </w:pPr>
      <w:r>
        <w:rPr>
          <w:rFonts w:hint="eastAsia"/>
          <w:kern w:val="2"/>
          <w:sz w:val="21"/>
          <w:szCs w:val="21"/>
        </w:rPr>
        <w:t>厂区所在地区海拔                           1640m</w:t>
      </w:r>
    </w:p>
    <w:p w14:paraId="09BA331B">
      <w:pPr>
        <w:spacing w:line="276" w:lineRule="auto"/>
        <w:ind w:firstLine="420" w:firstLineChars="200"/>
        <w:jc w:val="both"/>
        <w:rPr>
          <w:kern w:val="2"/>
          <w:sz w:val="21"/>
          <w:szCs w:val="21"/>
        </w:rPr>
      </w:pPr>
      <w:r>
        <w:rPr>
          <w:rFonts w:hint="eastAsia"/>
          <w:kern w:val="2"/>
          <w:sz w:val="21"/>
          <w:szCs w:val="21"/>
        </w:rPr>
        <w:t>极端最高温度                              38.4℃</w:t>
      </w:r>
    </w:p>
    <w:p w14:paraId="31D173BC">
      <w:pPr>
        <w:spacing w:line="276" w:lineRule="auto"/>
        <w:ind w:firstLine="420" w:firstLineChars="200"/>
        <w:jc w:val="both"/>
        <w:rPr>
          <w:kern w:val="2"/>
          <w:sz w:val="21"/>
          <w:szCs w:val="21"/>
        </w:rPr>
      </w:pPr>
      <w:r>
        <w:rPr>
          <w:rFonts w:hint="eastAsia"/>
          <w:kern w:val="2"/>
          <w:sz w:val="21"/>
          <w:szCs w:val="21"/>
        </w:rPr>
        <w:t>极端最低温度                             -31.6℃</w:t>
      </w:r>
    </w:p>
    <w:p w14:paraId="42AECC77">
      <w:pPr>
        <w:spacing w:line="276" w:lineRule="auto"/>
        <w:ind w:firstLine="420" w:firstLineChars="200"/>
        <w:jc w:val="both"/>
        <w:rPr>
          <w:kern w:val="2"/>
          <w:sz w:val="21"/>
          <w:szCs w:val="21"/>
        </w:rPr>
      </w:pPr>
      <w:r>
        <w:rPr>
          <w:rFonts w:hint="eastAsia"/>
          <w:kern w:val="2"/>
          <w:sz w:val="21"/>
          <w:szCs w:val="21"/>
        </w:rPr>
        <w:t>年平均温度                                 7.3℃</w:t>
      </w:r>
    </w:p>
    <w:p w14:paraId="45BA9555">
      <w:pPr>
        <w:spacing w:line="276" w:lineRule="auto"/>
        <w:ind w:firstLine="420" w:firstLineChars="200"/>
        <w:jc w:val="both"/>
        <w:rPr>
          <w:kern w:val="2"/>
          <w:sz w:val="21"/>
          <w:szCs w:val="21"/>
        </w:rPr>
      </w:pPr>
      <w:r>
        <w:rPr>
          <w:rFonts w:hint="eastAsia"/>
          <w:kern w:val="2"/>
          <w:sz w:val="21"/>
          <w:szCs w:val="21"/>
        </w:rPr>
        <w:t>相对湿度                                    46 %</w:t>
      </w:r>
    </w:p>
    <w:p w14:paraId="16E58378">
      <w:pPr>
        <w:spacing w:line="276" w:lineRule="auto"/>
        <w:ind w:firstLine="420" w:firstLineChars="200"/>
        <w:jc w:val="both"/>
        <w:rPr>
          <w:kern w:val="2"/>
          <w:sz w:val="21"/>
          <w:szCs w:val="21"/>
        </w:rPr>
      </w:pPr>
      <w:r>
        <w:rPr>
          <w:rFonts w:hint="eastAsia"/>
          <w:kern w:val="2"/>
          <w:sz w:val="21"/>
          <w:szCs w:val="21"/>
        </w:rPr>
        <w:t>年平均降雨量                              85.3mm</w:t>
      </w:r>
    </w:p>
    <w:p w14:paraId="2DCCEB97">
      <w:pPr>
        <w:spacing w:line="276" w:lineRule="auto"/>
        <w:ind w:firstLine="420" w:firstLineChars="200"/>
        <w:jc w:val="both"/>
        <w:rPr>
          <w:kern w:val="2"/>
          <w:sz w:val="21"/>
          <w:szCs w:val="21"/>
        </w:rPr>
      </w:pPr>
      <w:r>
        <w:rPr>
          <w:rFonts w:hint="eastAsia"/>
          <w:kern w:val="2"/>
          <w:sz w:val="21"/>
          <w:szCs w:val="21"/>
        </w:rPr>
        <w:t>平均风速及主导风向                    2.4SW  WSW</w:t>
      </w:r>
    </w:p>
    <w:p w14:paraId="1DA64C4A">
      <w:pPr>
        <w:spacing w:line="276" w:lineRule="auto"/>
        <w:ind w:firstLine="420" w:firstLineChars="200"/>
        <w:jc w:val="both"/>
        <w:rPr>
          <w:kern w:val="2"/>
          <w:sz w:val="21"/>
          <w:szCs w:val="21"/>
        </w:rPr>
      </w:pPr>
      <w:r>
        <w:rPr>
          <w:rFonts w:hint="eastAsia"/>
          <w:kern w:val="2"/>
          <w:sz w:val="21"/>
          <w:szCs w:val="21"/>
        </w:rPr>
        <w:t>最大风速                                   34m/s</w:t>
      </w:r>
    </w:p>
    <w:p w14:paraId="0809FF02">
      <w:pPr>
        <w:spacing w:line="276" w:lineRule="auto"/>
        <w:ind w:firstLine="420" w:firstLineChars="200"/>
        <w:jc w:val="both"/>
        <w:rPr>
          <w:kern w:val="2"/>
          <w:sz w:val="21"/>
          <w:szCs w:val="21"/>
        </w:rPr>
      </w:pPr>
      <w:r>
        <w:rPr>
          <w:rFonts w:hint="eastAsia"/>
          <w:kern w:val="2"/>
          <w:sz w:val="21"/>
          <w:szCs w:val="21"/>
        </w:rPr>
        <w:t>冬季大气压力                    85.6Kpa(642mmHg)</w:t>
      </w:r>
    </w:p>
    <w:p w14:paraId="22A0A13A">
      <w:pPr>
        <w:spacing w:line="276" w:lineRule="auto"/>
        <w:ind w:firstLine="420" w:firstLineChars="200"/>
        <w:jc w:val="both"/>
        <w:rPr>
          <w:kern w:val="2"/>
          <w:sz w:val="21"/>
          <w:szCs w:val="21"/>
        </w:rPr>
      </w:pPr>
      <w:r>
        <w:rPr>
          <w:rFonts w:hint="eastAsia"/>
          <w:kern w:val="2"/>
          <w:sz w:val="21"/>
          <w:szCs w:val="21"/>
        </w:rPr>
        <w:t>夏季大气压力                    84.7Kpa(635mmHg)</w:t>
      </w:r>
    </w:p>
    <w:p w14:paraId="72954C05">
      <w:pPr>
        <w:spacing w:line="276" w:lineRule="auto"/>
        <w:ind w:firstLine="420" w:firstLineChars="200"/>
        <w:jc w:val="both"/>
        <w:rPr>
          <w:rFonts w:hint="eastAsia" w:ascii="宋体" w:hAnsi="宋体" w:cs="Times New Roman"/>
          <w:b/>
          <w:bCs/>
          <w:color w:val="auto"/>
          <w:sz w:val="21"/>
          <w:szCs w:val="21"/>
          <w:highlight w:val="none"/>
          <w:lang w:val="en-US" w:eastAsia="zh-CN"/>
        </w:rPr>
      </w:pPr>
      <w:r>
        <w:rPr>
          <w:rFonts w:hint="eastAsia"/>
          <w:kern w:val="2"/>
          <w:sz w:val="21"/>
          <w:szCs w:val="21"/>
        </w:rPr>
        <w:t>地震设防烈度                    7度</w:t>
      </w:r>
    </w:p>
    <w:p w14:paraId="494C635A">
      <w:pPr>
        <w:numPr>
          <w:ilvl w:val="0"/>
          <w:numId w:val="0"/>
        </w:numPr>
        <w:tabs>
          <w:tab w:val="left" w:pos="540"/>
          <w:tab w:val="left" w:pos="720"/>
        </w:tabs>
        <w:spacing w:line="360" w:lineRule="auto"/>
        <w:rPr>
          <w:rFonts w:hint="eastAsia" w:ascii="宋体" w:hAnsi="宋体" w:eastAsia="宋体" w:cs="Times New Roman"/>
          <w:b/>
          <w:bCs/>
          <w:color w:val="auto"/>
          <w:sz w:val="21"/>
          <w:szCs w:val="21"/>
          <w:highlight w:val="none"/>
        </w:rPr>
      </w:pPr>
      <w:r>
        <w:rPr>
          <w:rFonts w:hint="eastAsia" w:ascii="宋体" w:hAnsi="宋体" w:cs="Times New Roman"/>
          <w:b/>
          <w:bCs/>
          <w:color w:val="auto"/>
          <w:sz w:val="21"/>
          <w:szCs w:val="21"/>
          <w:highlight w:val="none"/>
          <w:lang w:val="en-US" w:eastAsia="zh-CN"/>
        </w:rPr>
        <w:t>2.</w:t>
      </w:r>
      <w:r>
        <w:rPr>
          <w:rFonts w:hint="eastAsia" w:ascii="宋体" w:hAnsi="宋体" w:eastAsia="宋体" w:cs="Times New Roman"/>
          <w:b/>
          <w:bCs/>
          <w:color w:val="auto"/>
          <w:sz w:val="21"/>
          <w:szCs w:val="21"/>
          <w:highlight w:val="none"/>
        </w:rPr>
        <w:t>设备主要性能参数及设备描述：</w:t>
      </w:r>
    </w:p>
    <w:p w14:paraId="04AF3A11">
      <w:pPr>
        <w:numPr>
          <w:ilvl w:val="0"/>
          <w:numId w:val="0"/>
        </w:numPr>
        <w:tabs>
          <w:tab w:val="left" w:pos="540"/>
          <w:tab w:val="left" w:pos="720"/>
        </w:tabs>
        <w:spacing w:line="360" w:lineRule="auto"/>
        <w:rPr>
          <w:rFonts w:hint="eastAsia" w:ascii="宋体" w:hAnsi="宋体" w:eastAsia="宋体" w:cs="Times New Roman"/>
          <w:b w:val="0"/>
          <w:bCs/>
          <w:color w:val="auto"/>
          <w:sz w:val="21"/>
          <w:szCs w:val="21"/>
          <w:highlight w:val="none"/>
        </w:rPr>
      </w:pPr>
      <w:r>
        <w:rPr>
          <w:rFonts w:hint="eastAsia"/>
          <w:b w:val="0"/>
          <w:bCs/>
          <w:kern w:val="2"/>
          <w:sz w:val="21"/>
          <w:szCs w:val="21"/>
          <w:lang w:val="en-US" w:eastAsia="zh-CN"/>
        </w:rPr>
        <w:t>2.1变频器</w:t>
      </w:r>
      <w:r>
        <w:rPr>
          <w:rFonts w:hint="eastAsia"/>
          <w:b w:val="0"/>
          <w:bCs/>
          <w:kern w:val="2"/>
          <w:sz w:val="21"/>
          <w:szCs w:val="21"/>
        </w:rPr>
        <w:t>主要技术性能参数</w:t>
      </w:r>
    </w:p>
    <w:tbl>
      <w:tblPr>
        <w:tblStyle w:val="8"/>
        <w:tblW w:w="8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410"/>
        <w:gridCol w:w="5789"/>
      </w:tblGrid>
      <w:tr w14:paraId="0B0FF0C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410" w:type="dxa"/>
            <w:vAlign w:val="center"/>
          </w:tcPr>
          <w:p w14:paraId="745D9DD9">
            <w:pPr>
              <w:adjustRightInd/>
              <w:spacing w:line="300" w:lineRule="exact"/>
              <w:jc w:val="center"/>
              <w:textAlignment w:val="auto"/>
              <w:rPr>
                <w:rFonts w:ascii="宋体"/>
                <w:b/>
                <w:bCs/>
                <w:color w:val="auto"/>
                <w:kern w:val="2"/>
                <w:sz w:val="21"/>
                <w:szCs w:val="21"/>
                <w:highlight w:val="none"/>
              </w:rPr>
            </w:pPr>
            <w:r>
              <w:rPr>
                <w:rFonts w:hint="eastAsia" w:ascii="宋体"/>
                <w:b/>
                <w:bCs/>
                <w:color w:val="auto"/>
                <w:kern w:val="2"/>
                <w:sz w:val="21"/>
                <w:szCs w:val="21"/>
                <w:highlight w:val="none"/>
              </w:rPr>
              <w:t>技术指标</w:t>
            </w:r>
          </w:p>
        </w:tc>
        <w:tc>
          <w:tcPr>
            <w:tcW w:w="5789" w:type="dxa"/>
            <w:vAlign w:val="bottom"/>
          </w:tcPr>
          <w:p w14:paraId="65D8DC4D">
            <w:pPr>
              <w:adjustRightInd/>
              <w:spacing w:line="400" w:lineRule="exact"/>
              <w:jc w:val="center"/>
              <w:textAlignment w:val="auto"/>
              <w:rPr>
                <w:b/>
                <w:color w:val="auto"/>
                <w:kern w:val="2"/>
                <w:sz w:val="21"/>
                <w:szCs w:val="21"/>
                <w:highlight w:val="none"/>
              </w:rPr>
            </w:pPr>
            <w:r>
              <w:rPr>
                <w:rFonts w:hint="eastAsia"/>
                <w:b/>
                <w:color w:val="auto"/>
                <w:kern w:val="2"/>
                <w:sz w:val="21"/>
                <w:szCs w:val="21"/>
                <w:highlight w:val="none"/>
              </w:rPr>
              <w:t>参数</w:t>
            </w:r>
          </w:p>
        </w:tc>
      </w:tr>
      <w:tr w14:paraId="3540D1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41B0D62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规格型号</w:t>
            </w:r>
          </w:p>
        </w:tc>
        <w:tc>
          <w:tcPr>
            <w:tcW w:w="5789" w:type="dxa"/>
            <w:vAlign w:val="center"/>
          </w:tcPr>
          <w:p w14:paraId="2698CEC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ASY01-PC2101-TF5</w:t>
            </w:r>
          </w:p>
        </w:tc>
      </w:tr>
      <w:tr w14:paraId="52B20BC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02410026">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名称</w:t>
            </w:r>
          </w:p>
        </w:tc>
        <w:tc>
          <w:tcPr>
            <w:tcW w:w="5789" w:type="dxa"/>
            <w:vAlign w:val="center"/>
          </w:tcPr>
          <w:p w14:paraId="1EE13F6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变频器用户I/O板</w:t>
            </w:r>
          </w:p>
        </w:tc>
      </w:tr>
      <w:tr w14:paraId="737AF81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1055539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品牌</w:t>
            </w:r>
          </w:p>
        </w:tc>
        <w:tc>
          <w:tcPr>
            <w:tcW w:w="5789" w:type="dxa"/>
            <w:vAlign w:val="center"/>
          </w:tcPr>
          <w:p w14:paraId="63BF58C3">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0E2A0CD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7EFE2C8C">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厂家</w:t>
            </w:r>
          </w:p>
        </w:tc>
        <w:tc>
          <w:tcPr>
            <w:tcW w:w="5789" w:type="dxa"/>
            <w:vAlign w:val="center"/>
          </w:tcPr>
          <w:p w14:paraId="62524340">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48DD32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2933C8FE">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 适用变频器型号</w:t>
            </w:r>
          </w:p>
        </w:tc>
        <w:tc>
          <w:tcPr>
            <w:tcW w:w="5789" w:type="dxa"/>
            <w:vAlign w:val="center"/>
          </w:tcPr>
          <w:p w14:paraId="7C084F82">
            <w:pPr>
              <w:adjustRightInd/>
              <w:spacing w:line="360" w:lineRule="exact"/>
              <w:jc w:val="both"/>
              <w:textAlignment w:val="auto"/>
              <w:rPr>
                <w:rFonts w:hint="default" w:ascii="宋体" w:hAnsi="宋体"/>
                <w:color w:val="auto"/>
                <w:sz w:val="21"/>
                <w:szCs w:val="21"/>
                <w:highlight w:val="none"/>
                <w:lang w:val="en-US" w:eastAsia="zh-CN"/>
              </w:rPr>
            </w:pPr>
            <w:r>
              <w:rPr>
                <w:rFonts w:hint="default" w:ascii="宋体" w:hAnsi="宋体"/>
                <w:color w:val="auto"/>
                <w:sz w:val="21"/>
                <w:szCs w:val="21"/>
                <w:highlight w:val="none"/>
                <w:lang w:val="en-US" w:eastAsia="zh-CN"/>
              </w:rPr>
              <w:t>GD5000-A0560-10-L</w:t>
            </w:r>
            <w:r>
              <w:rPr>
                <w:rFonts w:hint="eastAsia" w:ascii="宋体" w:hAnsi="宋体"/>
                <w:color w:val="auto"/>
                <w:sz w:val="21"/>
                <w:szCs w:val="21"/>
                <w:highlight w:val="none"/>
                <w:lang w:val="en-US" w:eastAsia="zh-CN"/>
              </w:rPr>
              <w:t>（条码：F06245097721）</w:t>
            </w:r>
          </w:p>
        </w:tc>
      </w:tr>
    </w:tbl>
    <w:p w14:paraId="281E227F">
      <w:pPr>
        <w:spacing w:line="360" w:lineRule="auto"/>
        <w:rPr>
          <w:rFonts w:hint="eastAsia" w:ascii="宋体" w:hAnsi="宋体"/>
          <w:color w:val="auto"/>
          <w:kern w:val="2"/>
          <w:sz w:val="21"/>
          <w:szCs w:val="21"/>
          <w:highlight w:val="none"/>
          <w:lang w:eastAsia="zh-CN"/>
        </w:rPr>
      </w:pPr>
    </w:p>
    <w:p w14:paraId="34F59A15">
      <w:pPr>
        <w:spacing w:line="360" w:lineRule="auto"/>
        <w:rPr>
          <w:rFonts w:hint="eastAsia" w:ascii="宋体" w:hAnsi="宋体"/>
          <w:b/>
          <w:color w:val="auto"/>
          <w:spacing w:val="-4"/>
          <w:kern w:val="28"/>
          <w:szCs w:val="21"/>
          <w:highlight w:val="none"/>
        </w:rPr>
      </w:pPr>
      <w:r>
        <w:rPr>
          <w:rFonts w:hint="eastAsia" w:ascii="宋体" w:hAnsi="宋体"/>
          <w:b/>
          <w:color w:val="auto"/>
          <w:spacing w:val="-4"/>
          <w:kern w:val="28"/>
          <w:szCs w:val="21"/>
          <w:highlight w:val="none"/>
        </w:rPr>
        <w:t>附件三    系统设施供货范围</w:t>
      </w:r>
    </w:p>
    <w:tbl>
      <w:tblPr>
        <w:tblStyle w:val="8"/>
        <w:tblW w:w="0" w:type="auto"/>
        <w:jc w:val="center"/>
        <w:tblLayout w:type="fixed"/>
        <w:tblCellMar>
          <w:top w:w="0" w:type="dxa"/>
          <w:left w:w="108" w:type="dxa"/>
          <w:bottom w:w="0" w:type="dxa"/>
          <w:right w:w="108" w:type="dxa"/>
        </w:tblCellMar>
      </w:tblPr>
      <w:tblGrid>
        <w:gridCol w:w="523"/>
        <w:gridCol w:w="1429"/>
        <w:gridCol w:w="4786"/>
        <w:gridCol w:w="513"/>
        <w:gridCol w:w="480"/>
        <w:gridCol w:w="1064"/>
        <w:gridCol w:w="926"/>
      </w:tblGrid>
      <w:tr w14:paraId="11698F94">
        <w:tblPrEx>
          <w:tblCellMar>
            <w:top w:w="0" w:type="dxa"/>
            <w:left w:w="108" w:type="dxa"/>
            <w:bottom w:w="0" w:type="dxa"/>
            <w:right w:w="108" w:type="dxa"/>
          </w:tblCellMar>
        </w:tblPrEx>
        <w:trPr>
          <w:trHeight w:val="285" w:hRule="atLeast"/>
          <w:jc w:val="center"/>
        </w:trPr>
        <w:tc>
          <w:tcPr>
            <w:tcW w:w="523" w:type="dxa"/>
            <w:vMerge w:val="restart"/>
            <w:tcBorders>
              <w:top w:val="single" w:color="auto" w:sz="4" w:space="0"/>
              <w:left w:val="single" w:color="auto" w:sz="4" w:space="0"/>
              <w:bottom w:val="single" w:color="auto" w:sz="4" w:space="0"/>
              <w:right w:val="single" w:color="auto" w:sz="4" w:space="0"/>
            </w:tcBorders>
            <w:noWrap w:val="0"/>
            <w:vAlign w:val="center"/>
          </w:tcPr>
          <w:p w14:paraId="79361EA7">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序号</w:t>
            </w:r>
          </w:p>
        </w:tc>
        <w:tc>
          <w:tcPr>
            <w:tcW w:w="1429" w:type="dxa"/>
            <w:vMerge w:val="restart"/>
            <w:tcBorders>
              <w:top w:val="single" w:color="auto" w:sz="4" w:space="0"/>
              <w:left w:val="single" w:color="auto" w:sz="4" w:space="0"/>
              <w:bottom w:val="single" w:color="auto" w:sz="4" w:space="0"/>
              <w:right w:val="single" w:color="auto" w:sz="4" w:space="0"/>
            </w:tcBorders>
            <w:noWrap w:val="0"/>
            <w:vAlign w:val="center"/>
          </w:tcPr>
          <w:p w14:paraId="3A658EC9">
            <w:pPr>
              <w:spacing w:line="360" w:lineRule="auto"/>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物料编码</w:t>
            </w:r>
          </w:p>
        </w:tc>
        <w:tc>
          <w:tcPr>
            <w:tcW w:w="4786" w:type="dxa"/>
            <w:vMerge w:val="restart"/>
            <w:tcBorders>
              <w:top w:val="single" w:color="auto" w:sz="4" w:space="0"/>
              <w:left w:val="single" w:color="auto" w:sz="4" w:space="0"/>
              <w:bottom w:val="single" w:color="auto" w:sz="4" w:space="0"/>
              <w:right w:val="single" w:color="auto" w:sz="4" w:space="0"/>
            </w:tcBorders>
            <w:noWrap w:val="0"/>
            <w:vAlign w:val="center"/>
          </w:tcPr>
          <w:p w14:paraId="13723FD2">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名称</w:t>
            </w:r>
          </w:p>
        </w:tc>
        <w:tc>
          <w:tcPr>
            <w:tcW w:w="513" w:type="dxa"/>
            <w:vMerge w:val="restart"/>
            <w:tcBorders>
              <w:top w:val="single" w:color="auto" w:sz="4" w:space="0"/>
              <w:left w:val="single" w:color="auto" w:sz="4" w:space="0"/>
              <w:bottom w:val="single" w:color="auto" w:sz="4" w:space="0"/>
              <w:right w:val="single" w:color="auto" w:sz="4" w:space="0"/>
            </w:tcBorders>
            <w:noWrap w:val="0"/>
            <w:vAlign w:val="center"/>
          </w:tcPr>
          <w:p w14:paraId="1991B8B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数量</w:t>
            </w:r>
          </w:p>
        </w:tc>
        <w:tc>
          <w:tcPr>
            <w:tcW w:w="480" w:type="dxa"/>
            <w:vMerge w:val="restart"/>
            <w:tcBorders>
              <w:top w:val="single" w:color="auto" w:sz="4" w:space="0"/>
              <w:left w:val="single" w:color="auto" w:sz="4" w:space="0"/>
              <w:bottom w:val="single" w:color="auto" w:sz="4" w:space="0"/>
              <w:right w:val="single" w:color="auto" w:sz="4" w:space="0"/>
            </w:tcBorders>
            <w:noWrap w:val="0"/>
            <w:vAlign w:val="center"/>
          </w:tcPr>
          <w:p w14:paraId="1473371B">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材料</w:t>
            </w:r>
          </w:p>
        </w:tc>
        <w:tc>
          <w:tcPr>
            <w:tcW w:w="1990" w:type="dxa"/>
            <w:gridSpan w:val="2"/>
            <w:tcBorders>
              <w:top w:val="single" w:color="auto" w:sz="4" w:space="0"/>
              <w:left w:val="nil"/>
              <w:bottom w:val="single" w:color="auto" w:sz="4" w:space="0"/>
              <w:right w:val="single" w:color="auto" w:sz="4" w:space="0"/>
            </w:tcBorders>
            <w:noWrap w:val="0"/>
            <w:vAlign w:val="center"/>
          </w:tcPr>
          <w:p w14:paraId="3995D06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总质量（kg）</w:t>
            </w:r>
          </w:p>
        </w:tc>
      </w:tr>
      <w:tr w14:paraId="5AD14D7F">
        <w:tblPrEx>
          <w:tblCellMar>
            <w:top w:w="0" w:type="dxa"/>
            <w:left w:w="108" w:type="dxa"/>
            <w:bottom w:w="0" w:type="dxa"/>
            <w:right w:w="108" w:type="dxa"/>
          </w:tblCellMar>
        </w:tblPrEx>
        <w:trPr>
          <w:trHeight w:val="531" w:hRule="atLeast"/>
          <w:jc w:val="center"/>
        </w:trPr>
        <w:tc>
          <w:tcPr>
            <w:tcW w:w="523" w:type="dxa"/>
            <w:vMerge w:val="continue"/>
            <w:tcBorders>
              <w:top w:val="single" w:color="auto" w:sz="4" w:space="0"/>
              <w:left w:val="single" w:color="auto" w:sz="4" w:space="0"/>
              <w:bottom w:val="single" w:color="auto" w:sz="4" w:space="0"/>
              <w:right w:val="single" w:color="auto" w:sz="4" w:space="0"/>
            </w:tcBorders>
            <w:noWrap w:val="0"/>
            <w:vAlign w:val="center"/>
          </w:tcPr>
          <w:p w14:paraId="0EF77F11">
            <w:pPr>
              <w:spacing w:line="360" w:lineRule="auto"/>
              <w:rPr>
                <w:rFonts w:ascii="宋体" w:hAnsi="宋体" w:cs="宋体"/>
                <w:color w:val="auto"/>
                <w:sz w:val="21"/>
                <w:szCs w:val="21"/>
                <w:highlight w:val="none"/>
              </w:rPr>
            </w:pPr>
          </w:p>
        </w:tc>
        <w:tc>
          <w:tcPr>
            <w:tcW w:w="1429" w:type="dxa"/>
            <w:vMerge w:val="continue"/>
            <w:tcBorders>
              <w:top w:val="single" w:color="auto" w:sz="4" w:space="0"/>
              <w:left w:val="single" w:color="auto" w:sz="4" w:space="0"/>
              <w:bottom w:val="single" w:color="auto" w:sz="4" w:space="0"/>
              <w:right w:val="single" w:color="auto" w:sz="4" w:space="0"/>
            </w:tcBorders>
            <w:noWrap w:val="0"/>
            <w:vAlign w:val="center"/>
          </w:tcPr>
          <w:p w14:paraId="29FB9C22">
            <w:pPr>
              <w:spacing w:line="360" w:lineRule="auto"/>
              <w:rPr>
                <w:rFonts w:ascii="宋体" w:hAnsi="宋体" w:cs="宋体"/>
                <w:color w:val="auto"/>
                <w:sz w:val="21"/>
                <w:szCs w:val="21"/>
                <w:highlight w:val="none"/>
              </w:rPr>
            </w:pPr>
          </w:p>
        </w:tc>
        <w:tc>
          <w:tcPr>
            <w:tcW w:w="4786" w:type="dxa"/>
            <w:vMerge w:val="continue"/>
            <w:tcBorders>
              <w:top w:val="single" w:color="auto" w:sz="4" w:space="0"/>
              <w:left w:val="single" w:color="auto" w:sz="4" w:space="0"/>
              <w:bottom w:val="single" w:color="auto" w:sz="4" w:space="0"/>
              <w:right w:val="single" w:color="auto" w:sz="4" w:space="0"/>
            </w:tcBorders>
            <w:noWrap w:val="0"/>
            <w:vAlign w:val="center"/>
          </w:tcPr>
          <w:p w14:paraId="46BFDD22">
            <w:pPr>
              <w:spacing w:line="360" w:lineRule="auto"/>
              <w:rPr>
                <w:rFonts w:ascii="宋体" w:hAnsi="宋体" w:cs="宋体"/>
                <w:color w:val="auto"/>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noWrap w:val="0"/>
            <w:vAlign w:val="center"/>
          </w:tcPr>
          <w:p w14:paraId="2AB79C3F">
            <w:pPr>
              <w:spacing w:line="360" w:lineRule="auto"/>
              <w:rPr>
                <w:rFonts w:ascii="宋体" w:hAnsi="宋体" w:cs="宋体"/>
                <w:color w:val="auto"/>
                <w:sz w:val="21"/>
                <w:szCs w:val="21"/>
                <w:highlight w:val="none"/>
              </w:rPr>
            </w:pPr>
          </w:p>
        </w:tc>
        <w:tc>
          <w:tcPr>
            <w:tcW w:w="480" w:type="dxa"/>
            <w:vMerge w:val="continue"/>
            <w:tcBorders>
              <w:top w:val="single" w:color="auto" w:sz="4" w:space="0"/>
              <w:left w:val="single" w:color="auto" w:sz="4" w:space="0"/>
              <w:bottom w:val="single" w:color="auto" w:sz="4" w:space="0"/>
              <w:right w:val="single" w:color="auto" w:sz="4" w:space="0"/>
            </w:tcBorders>
            <w:noWrap w:val="0"/>
            <w:vAlign w:val="center"/>
          </w:tcPr>
          <w:p w14:paraId="3FADE880">
            <w:pPr>
              <w:spacing w:line="360" w:lineRule="auto"/>
              <w:rPr>
                <w:rFonts w:ascii="宋体" w:hAnsi="宋体" w:cs="宋体"/>
                <w:color w:val="auto"/>
                <w:sz w:val="21"/>
                <w:szCs w:val="21"/>
                <w:highlight w:val="none"/>
              </w:rPr>
            </w:pPr>
          </w:p>
        </w:tc>
        <w:tc>
          <w:tcPr>
            <w:tcW w:w="1064" w:type="dxa"/>
            <w:tcBorders>
              <w:top w:val="nil"/>
              <w:left w:val="nil"/>
              <w:bottom w:val="single" w:color="auto" w:sz="4" w:space="0"/>
              <w:right w:val="single" w:color="auto" w:sz="4" w:space="0"/>
            </w:tcBorders>
            <w:noWrap w:val="0"/>
            <w:vAlign w:val="center"/>
          </w:tcPr>
          <w:p w14:paraId="27462055">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单重</w:t>
            </w:r>
          </w:p>
        </w:tc>
        <w:tc>
          <w:tcPr>
            <w:tcW w:w="926" w:type="dxa"/>
            <w:tcBorders>
              <w:top w:val="nil"/>
              <w:left w:val="nil"/>
              <w:bottom w:val="single" w:color="auto" w:sz="4" w:space="0"/>
              <w:right w:val="single" w:color="auto" w:sz="4" w:space="0"/>
            </w:tcBorders>
            <w:noWrap w:val="0"/>
            <w:vAlign w:val="center"/>
          </w:tcPr>
          <w:p w14:paraId="56D767B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总重</w:t>
            </w:r>
          </w:p>
        </w:tc>
      </w:tr>
      <w:tr w14:paraId="76912CFF">
        <w:tblPrEx>
          <w:tblCellMar>
            <w:top w:w="0" w:type="dxa"/>
            <w:left w:w="108" w:type="dxa"/>
            <w:bottom w:w="0" w:type="dxa"/>
            <w:right w:w="108" w:type="dxa"/>
          </w:tblCellMar>
        </w:tblPrEx>
        <w:trPr>
          <w:trHeight w:val="665" w:hRule="atLeast"/>
          <w:jc w:val="center"/>
        </w:trPr>
        <w:tc>
          <w:tcPr>
            <w:tcW w:w="523" w:type="dxa"/>
            <w:tcBorders>
              <w:top w:val="nil"/>
              <w:left w:val="single" w:color="auto" w:sz="4" w:space="0"/>
              <w:bottom w:val="single" w:color="auto" w:sz="4" w:space="0"/>
              <w:right w:val="single" w:color="auto" w:sz="4" w:space="0"/>
            </w:tcBorders>
            <w:noWrap w:val="0"/>
            <w:vAlign w:val="center"/>
          </w:tcPr>
          <w:p w14:paraId="716D423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1429" w:type="dxa"/>
            <w:tcBorders>
              <w:top w:val="nil"/>
              <w:left w:val="nil"/>
              <w:bottom w:val="single" w:color="auto" w:sz="4" w:space="0"/>
              <w:right w:val="single" w:color="auto" w:sz="4" w:space="0"/>
            </w:tcBorders>
            <w:noWrap w:val="0"/>
            <w:vAlign w:val="center"/>
          </w:tcPr>
          <w:p w14:paraId="175C45A2">
            <w:pPr>
              <w:spacing w:line="360" w:lineRule="auto"/>
              <w:jc w:val="center"/>
              <w:rPr>
                <w:rFonts w:hint="default" w:ascii="宋体" w:hAnsi="宋体"/>
                <w:color w:val="auto"/>
                <w:spacing w:val="-4"/>
                <w:kern w:val="28"/>
                <w:sz w:val="21"/>
                <w:szCs w:val="21"/>
                <w:highlight w:val="none"/>
                <w:lang w:val="en-US"/>
              </w:rPr>
            </w:pPr>
            <w:r>
              <w:rPr>
                <w:rFonts w:hint="eastAsia" w:ascii="宋体" w:hAnsi="宋体" w:cs="宋体"/>
                <w:color w:val="auto"/>
                <w:sz w:val="20"/>
                <w:szCs w:val="20"/>
                <w:highlight w:val="none"/>
                <w:lang w:val="en-US" w:eastAsia="zh-CN"/>
              </w:rPr>
              <w:t>70306587</w:t>
            </w:r>
          </w:p>
        </w:tc>
        <w:tc>
          <w:tcPr>
            <w:tcW w:w="4786" w:type="dxa"/>
            <w:tcBorders>
              <w:top w:val="nil"/>
              <w:left w:val="nil"/>
              <w:bottom w:val="single" w:color="auto" w:sz="4" w:space="0"/>
              <w:right w:val="single" w:color="auto" w:sz="4" w:space="0"/>
            </w:tcBorders>
            <w:noWrap w:val="0"/>
            <w:vAlign w:val="center"/>
          </w:tcPr>
          <w:p w14:paraId="0352C447">
            <w:pPr>
              <w:spacing w:line="360" w:lineRule="auto"/>
              <w:jc w:val="both"/>
              <w:rPr>
                <w:rFonts w:ascii="宋体" w:hAnsi="宋体"/>
                <w:color w:val="auto"/>
                <w:sz w:val="21"/>
                <w:szCs w:val="21"/>
                <w:highlight w:val="none"/>
              </w:rPr>
            </w:pPr>
            <w:r>
              <w:rPr>
                <w:rFonts w:hint="eastAsia" w:ascii="宋体" w:hAnsi="宋体" w:cs="宋体"/>
                <w:i w:val="0"/>
                <w:color w:val="auto"/>
                <w:kern w:val="0"/>
                <w:sz w:val="20"/>
                <w:szCs w:val="20"/>
                <w:highlight w:val="none"/>
                <w:u w:val="none"/>
                <w:lang w:val="en-US" w:eastAsia="zh-CN" w:bidi="ar"/>
              </w:rPr>
              <w:t>用户IO板\ASY01-PC2101-TF5</w:t>
            </w:r>
          </w:p>
        </w:tc>
        <w:tc>
          <w:tcPr>
            <w:tcW w:w="513" w:type="dxa"/>
            <w:tcBorders>
              <w:top w:val="nil"/>
              <w:left w:val="nil"/>
              <w:bottom w:val="single" w:color="auto" w:sz="4" w:space="0"/>
              <w:right w:val="single" w:color="auto" w:sz="4" w:space="0"/>
            </w:tcBorders>
            <w:noWrap w:val="0"/>
            <w:vAlign w:val="center"/>
          </w:tcPr>
          <w:p w14:paraId="073A89CC">
            <w:pPr>
              <w:spacing w:line="360" w:lineRule="auto"/>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p>
        </w:tc>
        <w:tc>
          <w:tcPr>
            <w:tcW w:w="480" w:type="dxa"/>
            <w:tcBorders>
              <w:top w:val="nil"/>
              <w:left w:val="nil"/>
              <w:bottom w:val="single" w:color="auto" w:sz="4" w:space="0"/>
              <w:right w:val="single" w:color="auto" w:sz="4" w:space="0"/>
            </w:tcBorders>
            <w:noWrap w:val="0"/>
            <w:vAlign w:val="center"/>
          </w:tcPr>
          <w:p w14:paraId="24CD6DE9">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1064" w:type="dxa"/>
            <w:tcBorders>
              <w:top w:val="nil"/>
              <w:left w:val="nil"/>
              <w:bottom w:val="single" w:color="auto" w:sz="4" w:space="0"/>
              <w:right w:val="single" w:color="auto" w:sz="4" w:space="0"/>
            </w:tcBorders>
            <w:noWrap w:val="0"/>
            <w:vAlign w:val="center"/>
          </w:tcPr>
          <w:p w14:paraId="7882847A">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926" w:type="dxa"/>
            <w:tcBorders>
              <w:top w:val="nil"/>
              <w:left w:val="nil"/>
              <w:bottom w:val="single" w:color="auto" w:sz="4" w:space="0"/>
              <w:right w:val="single" w:color="auto" w:sz="4" w:space="0"/>
            </w:tcBorders>
            <w:noWrap w:val="0"/>
            <w:vAlign w:val="center"/>
          </w:tcPr>
          <w:p w14:paraId="15FB816D">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r>
    </w:tbl>
    <w:p w14:paraId="0048F635">
      <w:pPr>
        <w:rPr>
          <w:rFonts w:ascii="宋体"/>
          <w:b/>
          <w:color w:val="auto"/>
          <w:spacing w:val="-4"/>
          <w:kern w:val="28"/>
          <w:sz w:val="21"/>
          <w:szCs w:val="21"/>
          <w:highlight w:val="none"/>
        </w:rPr>
      </w:pPr>
      <w:r>
        <w:rPr>
          <w:rFonts w:hint="eastAsia" w:ascii="宋体" w:hAnsi="宋体"/>
          <w:b/>
          <w:color w:val="auto"/>
          <w:spacing w:val="-4"/>
          <w:kern w:val="28"/>
          <w:sz w:val="21"/>
          <w:szCs w:val="21"/>
          <w:highlight w:val="none"/>
        </w:rPr>
        <w:t>附件四</w:t>
      </w:r>
      <w:r>
        <w:rPr>
          <w:rFonts w:ascii="宋体" w:hAnsi="宋体"/>
          <w:b/>
          <w:color w:val="auto"/>
          <w:spacing w:val="-4"/>
          <w:kern w:val="28"/>
          <w:sz w:val="21"/>
          <w:szCs w:val="21"/>
          <w:highlight w:val="none"/>
        </w:rPr>
        <w:t xml:space="preserve">   </w:t>
      </w:r>
      <w:r>
        <w:rPr>
          <w:rFonts w:hint="eastAsia" w:ascii="宋体" w:hAnsi="宋体"/>
          <w:b/>
          <w:color w:val="auto"/>
          <w:spacing w:val="-4"/>
          <w:kern w:val="28"/>
          <w:sz w:val="21"/>
          <w:szCs w:val="21"/>
          <w:highlight w:val="none"/>
        </w:rPr>
        <w:t>提供资料</w:t>
      </w:r>
    </w:p>
    <w:p w14:paraId="67E2BF93">
      <w:pPr>
        <w:widowControl w:val="0"/>
        <w:tabs>
          <w:tab w:val="left" w:pos="540"/>
          <w:tab w:val="left" w:pos="1080"/>
        </w:tabs>
        <w:spacing w:line="360" w:lineRule="auto"/>
        <w:ind w:left="-23" w:firstLine="142" w:firstLineChars="68"/>
        <w:jc w:val="both"/>
        <w:outlineLvl w:val="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.1</w:t>
      </w:r>
      <w:r>
        <w:rPr>
          <w:rFonts w:hint="eastAsia" w:ascii="宋体" w:hAnsi="宋体"/>
          <w:color w:val="auto"/>
          <w:kern w:val="2"/>
          <w:sz w:val="21"/>
          <w:szCs w:val="21"/>
          <w:highlight w:val="none"/>
        </w:rPr>
        <w:t>甲方在中标后向乙方提以下资料：</w:t>
      </w:r>
    </w:p>
    <w:p w14:paraId="5FECFB0F">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rPr>
        <w:t>现场使用原设备所附带资料、规格型号</w:t>
      </w:r>
    </w:p>
    <w:p w14:paraId="55E3F6C0">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w:t>
      </w:r>
      <w:r>
        <w:rPr>
          <w:rFonts w:hint="eastAsia" w:ascii="宋体" w:hAnsi="宋体"/>
          <w:color w:val="auto"/>
          <w:kern w:val="2"/>
          <w:sz w:val="21"/>
          <w:szCs w:val="21"/>
          <w:highlight w:val="none"/>
        </w:rPr>
        <w:t>乙方在中标后</w:t>
      </w:r>
      <w:r>
        <w:rPr>
          <w:rFonts w:ascii="宋体" w:hAnsi="宋体"/>
          <w:color w:val="auto"/>
          <w:kern w:val="2"/>
          <w:sz w:val="21"/>
          <w:szCs w:val="21"/>
          <w:highlight w:val="none"/>
        </w:rPr>
        <w:t xml:space="preserve"> 5</w:t>
      </w:r>
      <w:r>
        <w:rPr>
          <w:rFonts w:hint="eastAsia" w:ascii="宋体" w:hAnsi="宋体"/>
          <w:color w:val="auto"/>
          <w:kern w:val="2"/>
          <w:sz w:val="21"/>
          <w:szCs w:val="21"/>
          <w:highlight w:val="none"/>
        </w:rPr>
        <w:t>天内将正确的纸版和电子版如下资料提供给甲方：</w:t>
      </w:r>
    </w:p>
    <w:p w14:paraId="3650BEDB">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.2.1</w:t>
      </w:r>
      <w:r>
        <w:rPr>
          <w:rFonts w:hint="eastAsia" w:ascii="宋体" w:hAnsi="宋体"/>
          <w:color w:val="auto"/>
          <w:kern w:val="2"/>
          <w:sz w:val="21"/>
          <w:szCs w:val="21"/>
          <w:highlight w:val="none"/>
        </w:rPr>
        <w:t>外购件明细表</w:t>
      </w:r>
    </w:p>
    <w:p w14:paraId="455E1CE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.2.2</w:t>
      </w:r>
      <w:r>
        <w:rPr>
          <w:rFonts w:hint="eastAsia" w:ascii="宋体" w:hAnsi="宋体"/>
          <w:color w:val="auto"/>
          <w:kern w:val="2"/>
          <w:sz w:val="21"/>
          <w:szCs w:val="21"/>
          <w:highlight w:val="none"/>
        </w:rPr>
        <w:t>备件、附件明细表</w:t>
      </w:r>
    </w:p>
    <w:p w14:paraId="26D62E46">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.2.3</w:t>
      </w:r>
      <w:r>
        <w:rPr>
          <w:rFonts w:hint="eastAsia" w:ascii="宋体" w:hAnsi="宋体"/>
          <w:color w:val="auto"/>
          <w:kern w:val="2"/>
          <w:sz w:val="21"/>
          <w:szCs w:val="21"/>
          <w:highlight w:val="none"/>
        </w:rPr>
        <w:t>各部分总图、装配图及零件图</w:t>
      </w:r>
    </w:p>
    <w:p w14:paraId="5CAB468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.2.4</w:t>
      </w:r>
      <w:r>
        <w:rPr>
          <w:rFonts w:hint="eastAsia" w:ascii="宋体" w:hAnsi="宋体"/>
          <w:color w:val="auto"/>
          <w:kern w:val="2"/>
          <w:sz w:val="21"/>
          <w:szCs w:val="21"/>
          <w:highlight w:val="none"/>
        </w:rPr>
        <w:t>中文说明书</w:t>
      </w:r>
    </w:p>
    <w:p w14:paraId="71D8F838">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.3</w:t>
      </w:r>
      <w:r>
        <w:rPr>
          <w:rFonts w:hint="eastAsia" w:ascii="宋体" w:hAnsi="宋体"/>
          <w:color w:val="auto"/>
          <w:kern w:val="2"/>
          <w:sz w:val="21"/>
          <w:szCs w:val="21"/>
          <w:highlight w:val="none"/>
        </w:rPr>
        <w:t>提供出厂最终资料</w:t>
      </w:r>
    </w:p>
    <w:p w14:paraId="4DD6BAA9">
      <w:pPr>
        <w:pStyle w:val="4"/>
        <w:spacing w:line="360" w:lineRule="auto"/>
        <w:ind w:firstLine="119" w:firstLineChars="57"/>
      </w:pPr>
      <w:r>
        <w:rPr>
          <w:rFonts w:hint="eastAsia" w:hAnsi="宋体"/>
          <w:szCs w:val="21"/>
        </w:rPr>
        <w:t>4</w:t>
      </w:r>
      <w:r>
        <w:rPr>
          <w:rFonts w:hAnsi="宋体"/>
          <w:szCs w:val="21"/>
        </w:rPr>
        <w:t>.4</w:t>
      </w:r>
      <w:r>
        <w:rPr>
          <w:rFonts w:hint="eastAsia"/>
        </w:rPr>
        <w:t>现场联系人:高丙意</w:t>
      </w:r>
      <w:r>
        <w:rPr>
          <w:rFonts w:hint="eastAsia" w:hAnsi="宋体"/>
          <w:szCs w:val="21"/>
        </w:rPr>
        <w:t xml:space="preserve"> </w:t>
      </w:r>
      <w:r>
        <w:rPr>
          <w:rFonts w:hint="eastAsia" w:hAnsi="宋体" w:cs="宋体"/>
          <w:szCs w:val="21"/>
        </w:rPr>
        <w:t xml:space="preserve"> </w:t>
      </w:r>
    </w:p>
    <w:p w14:paraId="2C4E6D9A">
      <w:pPr>
        <w:pStyle w:val="4"/>
        <w:spacing w:line="360" w:lineRule="auto"/>
        <w:ind w:firstLine="630" w:firstLineChars="300"/>
      </w:pPr>
      <w:r>
        <w:rPr>
          <w:rFonts w:hint="eastAsia"/>
        </w:rPr>
        <w:t>4.4.1</w:t>
      </w:r>
      <w:r>
        <w:rPr>
          <w:rFonts w:hint="eastAsia" w:hAnsi="宋体" w:cs="宋体"/>
          <w:szCs w:val="21"/>
        </w:rPr>
        <w:t>联系电话：15682691831座机0937-6714880</w:t>
      </w:r>
    </w:p>
    <w:p w14:paraId="0EAEEBDE">
      <w:pPr>
        <w:pStyle w:val="4"/>
        <w:spacing w:line="360" w:lineRule="auto"/>
        <w:ind w:firstLine="630" w:firstLineChars="300"/>
        <w:rPr>
          <w:rFonts w:hAnsi="宋体" w:cs="宋体"/>
          <w:szCs w:val="21"/>
        </w:rPr>
      </w:pPr>
      <w:r>
        <w:rPr>
          <w:rFonts w:hint="eastAsia"/>
        </w:rPr>
        <w:t>4.4.2</w:t>
      </w:r>
      <w:r>
        <w:rPr>
          <w:rFonts w:hint="eastAsia" w:hAnsi="宋体"/>
          <w:szCs w:val="21"/>
        </w:rPr>
        <w:t>电子邮箱：</w:t>
      </w:r>
      <w:r>
        <w:fldChar w:fldCharType="begin"/>
      </w:r>
      <w:r>
        <w:instrText xml:space="preserve"> HYPERLINK "mailto:qiaozhi@jiugang.com" </w:instrText>
      </w:r>
      <w:r>
        <w:fldChar w:fldCharType="separate"/>
      </w:r>
      <w:r>
        <w:rPr>
          <w:rFonts w:hint="eastAsia" w:hAnsi="宋体" w:cs="宋体"/>
          <w:szCs w:val="21"/>
        </w:rPr>
        <w:t>gaobingyi</w:t>
      </w:r>
      <w:r>
        <w:rPr>
          <w:rStyle w:val="11"/>
          <w:rFonts w:hint="eastAsia" w:hAnsi="宋体" w:cs="宋体"/>
          <w:color w:val="auto"/>
          <w:szCs w:val="21"/>
        </w:rPr>
        <w:t>@jiugang.com</w:t>
      </w:r>
      <w:r>
        <w:rPr>
          <w:rStyle w:val="11"/>
          <w:rFonts w:hint="eastAsia" w:hAnsi="宋体" w:cs="宋体"/>
          <w:color w:val="auto"/>
          <w:szCs w:val="21"/>
        </w:rPr>
        <w:fldChar w:fldCharType="end"/>
      </w:r>
    </w:p>
    <w:p w14:paraId="6F67CB53">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附件五</w:t>
      </w:r>
      <w:r>
        <w:rPr>
          <w:rFonts w:ascii="宋体" w:hAnsi="宋体"/>
          <w:b/>
          <w:color w:val="auto"/>
          <w:sz w:val="21"/>
          <w:szCs w:val="21"/>
          <w:highlight w:val="none"/>
        </w:rPr>
        <w:t xml:space="preserve"> </w:t>
      </w:r>
      <w:r>
        <w:rPr>
          <w:rFonts w:hint="eastAsia" w:ascii="宋体" w:hAnsi="宋体"/>
          <w:b/>
          <w:color w:val="auto"/>
          <w:sz w:val="21"/>
          <w:szCs w:val="21"/>
          <w:highlight w:val="none"/>
        </w:rPr>
        <w:t>售后服务</w:t>
      </w:r>
    </w:p>
    <w:p w14:paraId="61EAC178">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.1</w:t>
      </w:r>
      <w:r>
        <w:rPr>
          <w:rFonts w:hint="eastAsia" w:ascii="宋体" w:hAnsi="宋体"/>
          <w:color w:val="auto"/>
          <w:kern w:val="2"/>
          <w:sz w:val="21"/>
          <w:szCs w:val="21"/>
          <w:highlight w:val="none"/>
        </w:rPr>
        <w:t>合同设备的保证期为投运现场使用之日起</w:t>
      </w:r>
      <w:r>
        <w:rPr>
          <w:rFonts w:ascii="宋体" w:hAnsi="宋体"/>
          <w:color w:val="auto"/>
          <w:kern w:val="2"/>
          <w:sz w:val="21"/>
          <w:szCs w:val="21"/>
          <w:highlight w:val="none"/>
        </w:rPr>
        <w:t>12</w:t>
      </w:r>
      <w:r>
        <w:rPr>
          <w:rFonts w:hint="eastAsia" w:ascii="宋体" w:hAnsi="宋体"/>
          <w:color w:val="auto"/>
          <w:kern w:val="2"/>
          <w:sz w:val="21"/>
          <w:szCs w:val="21"/>
          <w:highlight w:val="none"/>
        </w:rPr>
        <w:t>个月。</w:t>
      </w:r>
    </w:p>
    <w:p w14:paraId="4C2CC3C1">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.2</w:t>
      </w:r>
      <w:r>
        <w:rPr>
          <w:rFonts w:hint="eastAsia" w:ascii="宋体" w:hAnsi="宋体"/>
          <w:color w:val="auto"/>
          <w:kern w:val="2"/>
          <w:sz w:val="21"/>
          <w:szCs w:val="21"/>
          <w:highlight w:val="none"/>
        </w:rPr>
        <w:t>在质保期内乙方免费处理所有故障，更换零部件，保证系统正常运行。</w:t>
      </w:r>
    </w:p>
    <w:p w14:paraId="7A4F2B9F">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w:t>
      </w:r>
      <w:r>
        <w:rPr>
          <w:rFonts w:hint="eastAsia" w:ascii="宋体" w:hAnsi="宋体"/>
          <w:color w:val="auto"/>
          <w:kern w:val="2"/>
          <w:sz w:val="21"/>
          <w:szCs w:val="21"/>
          <w:highlight w:val="none"/>
        </w:rPr>
        <w:t>3乙方负责对用户技术和操作人员进行系统原理，设备特性，使用方法，常见故障排除。</w:t>
      </w:r>
    </w:p>
    <w:p w14:paraId="3D8FF6B3">
      <w:pPr>
        <w:spacing w:line="360" w:lineRule="auto"/>
        <w:ind w:left="521" w:leftChars="86" w:hanging="315" w:hangingChars="150"/>
        <w:rPr>
          <w:rFonts w:ascii="宋体" w:hAnsi="宋体"/>
          <w:color w:val="auto"/>
          <w:kern w:val="2"/>
          <w:sz w:val="21"/>
          <w:szCs w:val="21"/>
          <w:highlight w:val="none"/>
        </w:rPr>
      </w:pPr>
      <w:r>
        <w:rPr>
          <w:rFonts w:hint="eastAsia" w:ascii="宋体" w:hAnsi="宋体"/>
          <w:color w:val="auto"/>
          <w:kern w:val="2"/>
          <w:sz w:val="21"/>
          <w:szCs w:val="21"/>
          <w:highlight w:val="none"/>
        </w:rPr>
        <w:t>5.4乙方在接到甲方服务要求后，应在24个小时内派出</w:t>
      </w:r>
      <w:r>
        <w:rPr>
          <w:rFonts w:hint="eastAsia" w:ascii="宋体" w:hAnsi="宋体"/>
          <w:color w:val="auto"/>
          <w:kern w:val="2"/>
          <w:sz w:val="21"/>
          <w:szCs w:val="21"/>
          <w:highlight w:val="none"/>
          <w:lang w:eastAsia="zh-CN"/>
        </w:rPr>
        <w:t>公司</w:t>
      </w:r>
      <w:r>
        <w:rPr>
          <w:rFonts w:hint="eastAsia" w:ascii="宋体" w:hAnsi="宋体"/>
          <w:color w:val="auto"/>
          <w:kern w:val="2"/>
          <w:sz w:val="21"/>
          <w:szCs w:val="21"/>
          <w:highlight w:val="none"/>
        </w:rPr>
        <w:t>技术服务人员赶赴现场负责查找和解决系统故障。</w:t>
      </w:r>
    </w:p>
    <w:p w14:paraId="32FE2E79">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5.5乙方负责对用户技术和操作人员进行系统原理，设备特性，使用方法，常见故障排除，安全操作事项等内容的技术培训。培训地点：项目现场。</w:t>
      </w:r>
    </w:p>
    <w:p w14:paraId="24E7D67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附件六</w:t>
      </w:r>
      <w:r>
        <w:rPr>
          <w:rFonts w:ascii="宋体" w:hAnsi="宋体"/>
          <w:b/>
          <w:color w:val="auto"/>
          <w:sz w:val="21"/>
          <w:szCs w:val="21"/>
          <w:highlight w:val="none"/>
        </w:rPr>
        <w:t xml:space="preserve"> </w:t>
      </w:r>
      <w:r>
        <w:rPr>
          <w:rFonts w:hint="eastAsia" w:ascii="宋体" w:hAnsi="宋体"/>
          <w:b/>
          <w:color w:val="auto"/>
          <w:sz w:val="21"/>
          <w:szCs w:val="21"/>
          <w:highlight w:val="none"/>
        </w:rPr>
        <w:t>交货时间及地点</w:t>
      </w:r>
    </w:p>
    <w:p w14:paraId="4721F47E">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.1</w:t>
      </w:r>
      <w:r>
        <w:rPr>
          <w:rFonts w:hint="eastAsia" w:ascii="宋体" w:hAnsi="宋体"/>
          <w:color w:val="auto"/>
          <w:kern w:val="2"/>
          <w:sz w:val="21"/>
          <w:szCs w:val="21"/>
          <w:highlight w:val="none"/>
        </w:rPr>
        <w:t>交货时间：以合同签订交货时间为准</w:t>
      </w:r>
      <w:bookmarkStart w:id="0" w:name="_GoBack"/>
      <w:bookmarkEnd w:id="0"/>
    </w:p>
    <w:p w14:paraId="1260AACF">
      <w:pPr>
        <w:tabs>
          <w:tab w:val="left" w:pos="-180"/>
          <w:tab w:val="left" w:pos="-120"/>
          <w:tab w:val="left" w:pos="0"/>
          <w:tab w:val="left" w:pos="720"/>
          <w:tab w:val="left" w:pos="900"/>
          <w:tab w:val="left" w:pos="1080"/>
        </w:tabs>
        <w:spacing w:line="360" w:lineRule="auto"/>
        <w:ind w:firstLine="210" w:firstLineChars="100"/>
        <w:rPr>
          <w:rFonts w:ascii="宋体"/>
          <w:color w:val="auto"/>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.2</w:t>
      </w:r>
      <w:r>
        <w:rPr>
          <w:rFonts w:hint="eastAsia" w:ascii="宋体" w:hAnsi="宋体"/>
          <w:color w:val="auto"/>
          <w:kern w:val="2"/>
          <w:sz w:val="21"/>
          <w:szCs w:val="21"/>
          <w:highlight w:val="none"/>
        </w:rPr>
        <w:t>交货地点：</w:t>
      </w:r>
      <w:r>
        <w:rPr>
          <w:rFonts w:hint="eastAsia" w:ascii="宋体" w:hAnsi="宋体"/>
          <w:color w:val="auto"/>
          <w:sz w:val="21"/>
          <w:szCs w:val="21"/>
          <w:highlight w:val="none"/>
        </w:rPr>
        <w:t>设备东库</w:t>
      </w:r>
      <w:r>
        <w:rPr>
          <w:rFonts w:ascii="宋体" w:hAnsi="宋体"/>
          <w:color w:val="auto"/>
          <w:kern w:val="2"/>
          <w:sz w:val="21"/>
          <w:szCs w:val="21"/>
          <w:highlight w:val="none"/>
        </w:rPr>
        <w:t xml:space="preserve"> </w:t>
      </w:r>
    </w:p>
    <w:p w14:paraId="341D6D3B">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附件七</w:t>
      </w:r>
      <w:r>
        <w:rPr>
          <w:rFonts w:ascii="宋体" w:hAnsi="宋体"/>
          <w:b/>
          <w:color w:val="auto"/>
          <w:sz w:val="21"/>
          <w:szCs w:val="21"/>
          <w:highlight w:val="none"/>
        </w:rPr>
        <w:t xml:space="preserve">  </w:t>
      </w:r>
      <w:r>
        <w:rPr>
          <w:rFonts w:hint="eastAsia" w:ascii="宋体" w:hAnsi="宋体"/>
          <w:b/>
          <w:color w:val="auto"/>
          <w:sz w:val="21"/>
          <w:szCs w:val="21"/>
          <w:highlight w:val="none"/>
        </w:rPr>
        <w:t>其它</w:t>
      </w:r>
    </w:p>
    <w:p w14:paraId="5350FD49">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7.1投标方在投标中所提供的系统必须是完整的、无缺项的。无论何时发现缺项、漏项，投标方都必须无偿补足。</w:t>
      </w:r>
    </w:p>
    <w:p w14:paraId="31ED8983">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7.2本规格书为合同附件，与合同具有同等法律效力。</w:t>
      </w:r>
    </w:p>
    <w:p w14:paraId="34CA55D8">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7.3随机提供中文操作说明手册。</w:t>
      </w:r>
    </w:p>
    <w:p w14:paraId="17F5715B">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7.4其它未尽事宜，甲乙双方协商解决。</w:t>
      </w:r>
    </w:p>
    <w:p w14:paraId="2272CA01">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7.5本</w:t>
      </w:r>
      <w:r>
        <w:rPr>
          <w:rFonts w:hint="eastAsia" w:ascii="宋体" w:hAnsi="宋体" w:cs="宋体"/>
          <w:sz w:val="21"/>
          <w:szCs w:val="21"/>
          <w:lang w:eastAsia="zh-CN" w:bidi="ar"/>
        </w:rPr>
        <w:t>规格书</w:t>
      </w:r>
      <w:r>
        <w:rPr>
          <w:rFonts w:hint="eastAsia" w:ascii="宋体" w:hAnsi="宋体" w:cs="宋体"/>
          <w:sz w:val="21"/>
          <w:szCs w:val="21"/>
          <w:lang w:bidi="ar"/>
        </w:rPr>
        <w:t>内容经由甲乙双方于    年   月   日   时-      时通过        方式商定。</w:t>
      </w:r>
    </w:p>
    <w:p w14:paraId="055E81A5">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7.6甲乙双方应当就签订本</w:t>
      </w:r>
      <w:r>
        <w:rPr>
          <w:rFonts w:hint="eastAsia" w:ascii="宋体" w:hAnsi="宋体" w:cs="宋体"/>
          <w:sz w:val="21"/>
          <w:szCs w:val="21"/>
          <w:lang w:eastAsia="zh-CN" w:bidi="ar"/>
        </w:rPr>
        <w:t>规格书</w:t>
      </w:r>
      <w:r>
        <w:rPr>
          <w:rFonts w:hint="eastAsia" w:ascii="宋体" w:hAnsi="宋体" w:cs="宋体"/>
          <w:sz w:val="21"/>
          <w:szCs w:val="21"/>
          <w:lang w:bidi="ar"/>
        </w:rPr>
        <w:t>的相关事宜保密，不得将签订主体、时间、内容等信息透露给其他第三人。</w:t>
      </w:r>
    </w:p>
    <w:p w14:paraId="53E1A66F">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7.7若乙方公司不能中标，则本技术</w:t>
      </w:r>
      <w:r>
        <w:rPr>
          <w:rFonts w:hint="eastAsia" w:ascii="宋体" w:hAnsi="宋体" w:cs="宋体"/>
          <w:sz w:val="21"/>
          <w:szCs w:val="21"/>
          <w:lang w:eastAsia="zh-CN" w:bidi="ar"/>
        </w:rPr>
        <w:t>规格书</w:t>
      </w:r>
      <w:r>
        <w:rPr>
          <w:rFonts w:hint="eastAsia" w:ascii="宋体" w:hAnsi="宋体" w:cs="宋体"/>
          <w:sz w:val="21"/>
          <w:szCs w:val="21"/>
          <w:lang w:bidi="ar"/>
        </w:rPr>
        <w:t>自动失效，双方不承担任何责任。</w:t>
      </w:r>
    </w:p>
    <w:p w14:paraId="177E527B">
      <w:pPr>
        <w:widowControl/>
        <w:spacing w:before="100" w:beforeAutospacing="1" w:after="100" w:afterAutospacing="1" w:line="315" w:lineRule="atLeast"/>
        <w:jc w:val="both"/>
        <w:rPr>
          <w:rFonts w:hint="eastAsia" w:ascii="宋体" w:hAnsi="宋体"/>
          <w:color w:val="auto"/>
          <w:sz w:val="21"/>
          <w:szCs w:val="21"/>
          <w:highlight w:val="none"/>
        </w:rPr>
      </w:pPr>
      <w:r>
        <w:rPr>
          <w:rFonts w:hint="eastAsia" w:ascii="宋体" w:hAnsi="宋体" w:cs="宋体"/>
          <w:sz w:val="21"/>
          <w:szCs w:val="21"/>
          <w:lang w:bidi="ar"/>
        </w:rPr>
        <w:t xml:space="preserve">  7.8本</w:t>
      </w:r>
      <w:r>
        <w:rPr>
          <w:rFonts w:hint="eastAsia" w:ascii="宋体" w:hAnsi="宋体" w:cs="宋体"/>
          <w:sz w:val="21"/>
          <w:szCs w:val="21"/>
          <w:lang w:eastAsia="zh-CN" w:bidi="ar"/>
        </w:rPr>
        <w:t>规格书</w:t>
      </w:r>
      <w:r>
        <w:rPr>
          <w:rFonts w:hint="eastAsia" w:ascii="宋体" w:hAnsi="宋体" w:cs="宋体"/>
          <w:sz w:val="21"/>
          <w:szCs w:val="21"/>
          <w:lang w:bidi="ar"/>
        </w:rPr>
        <w:t>一式四份，甲方三份，乙方一份。</w:t>
      </w:r>
    </w:p>
    <w:p w14:paraId="6A3E9B0C">
      <w:pPr>
        <w:tabs>
          <w:tab w:val="left" w:pos="1943"/>
        </w:tabs>
        <w:rPr>
          <w:rFonts w:ascii="宋体"/>
          <w:b/>
          <w:color w:val="auto"/>
          <w:sz w:val="28"/>
          <w:szCs w:val="28"/>
          <w:highlight w:val="none"/>
        </w:rPr>
      </w:pPr>
      <w:r>
        <w:rPr>
          <w:rFonts w:hint="eastAsia" w:ascii="宋体" w:hAnsi="宋体"/>
          <w:b/>
          <w:color w:val="auto"/>
          <w:sz w:val="28"/>
          <w:szCs w:val="28"/>
          <w:highlight w:val="none"/>
        </w:rPr>
        <w:t>甲方：</w:t>
      </w:r>
      <w:r>
        <w:rPr>
          <w:rFonts w:hint="eastAsia" w:ascii="宋体" w:hAnsi="宋体"/>
          <w:b/>
          <w:color w:val="auto"/>
          <w:szCs w:val="21"/>
          <w:highlight w:val="none"/>
        </w:rPr>
        <w:t>甘肃酒钢集团宏兴钢铁股份有限公司</w:t>
      </w:r>
      <w:r>
        <w:rPr>
          <w:rFonts w:ascii="宋体" w:hAnsi="宋体"/>
          <w:b/>
          <w:color w:val="auto"/>
          <w:szCs w:val="21"/>
          <w:highlight w:val="none"/>
        </w:rPr>
        <w:t xml:space="preserve">       </w:t>
      </w:r>
      <w:r>
        <w:rPr>
          <w:rFonts w:hint="eastAsia" w:ascii="宋体" w:hAnsi="宋体"/>
          <w:b/>
          <w:color w:val="auto"/>
          <w:sz w:val="28"/>
          <w:szCs w:val="28"/>
          <w:highlight w:val="none"/>
        </w:rPr>
        <w:t>乙方：</w:t>
      </w:r>
    </w:p>
    <w:p w14:paraId="61CAAA2F">
      <w:pPr>
        <w:tabs>
          <w:tab w:val="left" w:pos="1943"/>
        </w:tabs>
        <w:ind w:firstLine="964" w:firstLineChars="400"/>
        <w:rPr>
          <w:rFonts w:hint="eastAsia" w:ascii="宋体" w:eastAsia="宋体"/>
          <w:b/>
          <w:color w:val="auto"/>
          <w:szCs w:val="21"/>
          <w:highlight w:val="none"/>
          <w:lang w:eastAsia="zh-CN"/>
        </w:rPr>
      </w:pPr>
      <w:r>
        <w:rPr>
          <w:rFonts w:hint="eastAsia" w:ascii="宋体" w:hAnsi="宋体"/>
          <w:b/>
          <w:color w:val="auto"/>
          <w:szCs w:val="21"/>
          <w:highlight w:val="none"/>
          <w:lang w:eastAsia="zh-CN"/>
        </w:rPr>
        <w:t>炼铁厂</w:t>
      </w:r>
    </w:p>
    <w:p w14:paraId="3E3826A9">
      <w:pPr>
        <w:rPr>
          <w:rFonts w:ascii="宋体"/>
          <w:b/>
          <w:color w:val="auto"/>
          <w:szCs w:val="21"/>
          <w:highlight w:val="none"/>
        </w:rPr>
      </w:pPr>
    </w:p>
    <w:p w14:paraId="1974E801">
      <w:pPr>
        <w:tabs>
          <w:tab w:val="left" w:pos="1943"/>
        </w:tabs>
        <w:rPr>
          <w:rFonts w:ascii="宋体"/>
          <w:b/>
          <w:color w:val="auto"/>
          <w:szCs w:val="21"/>
          <w:highlight w:val="none"/>
        </w:rPr>
      </w:pPr>
      <w:r>
        <w:rPr>
          <w:rFonts w:ascii="宋体" w:hAnsi="宋体"/>
          <w:b/>
          <w:color w:val="auto"/>
          <w:szCs w:val="21"/>
          <w:highlight w:val="none"/>
        </w:rPr>
        <w:t xml:space="preserve">                </w:t>
      </w:r>
    </w:p>
    <w:p w14:paraId="52FFA9E5">
      <w:pPr>
        <w:tabs>
          <w:tab w:val="left" w:pos="1943"/>
        </w:tabs>
        <w:rPr>
          <w:color w:val="auto"/>
          <w:highlight w:val="none"/>
        </w:rPr>
      </w:pPr>
      <w:r>
        <w:rPr>
          <w:rFonts w:hint="eastAsia" w:ascii="宋体" w:hAnsi="宋体"/>
          <w:b/>
          <w:color w:val="auto"/>
          <w:sz w:val="28"/>
          <w:szCs w:val="28"/>
          <w:highlight w:val="none"/>
        </w:rPr>
        <w:t>甲方代表：</w:t>
      </w:r>
      <w:r>
        <w:rPr>
          <w:rFonts w:ascii="宋体"/>
          <w:b/>
          <w:color w:val="auto"/>
          <w:sz w:val="28"/>
          <w:szCs w:val="28"/>
          <w:highlight w:val="none"/>
        </w:rPr>
        <w:tab/>
      </w:r>
      <w:r>
        <w:rPr>
          <w:rFonts w:ascii="宋体" w:hAnsi="宋体"/>
          <w:b/>
          <w:color w:val="auto"/>
          <w:sz w:val="28"/>
          <w:szCs w:val="28"/>
          <w:highlight w:val="none"/>
        </w:rPr>
        <w:t xml:space="preserve">                          </w:t>
      </w:r>
      <w:r>
        <w:rPr>
          <w:rFonts w:hint="eastAsia" w:ascii="宋体" w:hAnsi="宋体"/>
          <w:b/>
          <w:color w:val="auto"/>
          <w:sz w:val="28"/>
          <w:szCs w:val="28"/>
          <w:highlight w:val="none"/>
        </w:rPr>
        <w:t>乙方代表：</w:t>
      </w:r>
    </w:p>
    <w:sectPr>
      <w:pgSz w:w="11906" w:h="16838"/>
      <w:pgMar w:top="1440" w:right="896" w:bottom="1440" w:left="83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wMjlkMGNkYWNkOWM1ZjA1MGZkY2Y4YjU2ZDUzMTAifQ=="/>
  </w:docVars>
  <w:rsids>
    <w:rsidRoot w:val="0033053B"/>
    <w:rsid w:val="00091654"/>
    <w:rsid w:val="000D6627"/>
    <w:rsid w:val="0013784F"/>
    <w:rsid w:val="0033053B"/>
    <w:rsid w:val="003505EC"/>
    <w:rsid w:val="00375647"/>
    <w:rsid w:val="004D1EDE"/>
    <w:rsid w:val="004D5F9B"/>
    <w:rsid w:val="00687753"/>
    <w:rsid w:val="006F3E54"/>
    <w:rsid w:val="007F52A1"/>
    <w:rsid w:val="00921C9C"/>
    <w:rsid w:val="009577E6"/>
    <w:rsid w:val="009C2F93"/>
    <w:rsid w:val="00A755E0"/>
    <w:rsid w:val="00AC467B"/>
    <w:rsid w:val="00C76546"/>
    <w:rsid w:val="00CE1F31"/>
    <w:rsid w:val="00D8649F"/>
    <w:rsid w:val="00E9024C"/>
    <w:rsid w:val="00FB2FA4"/>
    <w:rsid w:val="01EF609D"/>
    <w:rsid w:val="03EE5358"/>
    <w:rsid w:val="04196DBB"/>
    <w:rsid w:val="04B10023"/>
    <w:rsid w:val="04E448BA"/>
    <w:rsid w:val="05B66905"/>
    <w:rsid w:val="070404B5"/>
    <w:rsid w:val="0E985E55"/>
    <w:rsid w:val="0F942F20"/>
    <w:rsid w:val="13C22A3A"/>
    <w:rsid w:val="13E34361"/>
    <w:rsid w:val="147E777A"/>
    <w:rsid w:val="154857FE"/>
    <w:rsid w:val="1AA107B7"/>
    <w:rsid w:val="1B957643"/>
    <w:rsid w:val="1B957D55"/>
    <w:rsid w:val="20886BD7"/>
    <w:rsid w:val="22025A09"/>
    <w:rsid w:val="236040C9"/>
    <w:rsid w:val="25BB515C"/>
    <w:rsid w:val="25CE2D77"/>
    <w:rsid w:val="26012786"/>
    <w:rsid w:val="2AF0783C"/>
    <w:rsid w:val="2B8D1F1E"/>
    <w:rsid w:val="2BF11DFF"/>
    <w:rsid w:val="2E0D45F3"/>
    <w:rsid w:val="2E85447A"/>
    <w:rsid w:val="2E8D56F6"/>
    <w:rsid w:val="2FE31ECB"/>
    <w:rsid w:val="30277DB4"/>
    <w:rsid w:val="31AA7947"/>
    <w:rsid w:val="323F4CF7"/>
    <w:rsid w:val="3375732D"/>
    <w:rsid w:val="340D673B"/>
    <w:rsid w:val="35047701"/>
    <w:rsid w:val="382F19DE"/>
    <w:rsid w:val="398D6FC4"/>
    <w:rsid w:val="3E3F3592"/>
    <w:rsid w:val="42770F78"/>
    <w:rsid w:val="465700D4"/>
    <w:rsid w:val="479274DA"/>
    <w:rsid w:val="48E44D63"/>
    <w:rsid w:val="49C90151"/>
    <w:rsid w:val="4CCA1A1A"/>
    <w:rsid w:val="510F4E6B"/>
    <w:rsid w:val="51666E18"/>
    <w:rsid w:val="54E92C3E"/>
    <w:rsid w:val="595363D4"/>
    <w:rsid w:val="5FC0519D"/>
    <w:rsid w:val="604972E7"/>
    <w:rsid w:val="640F5CFD"/>
    <w:rsid w:val="649C565F"/>
    <w:rsid w:val="64C10F15"/>
    <w:rsid w:val="65975ABE"/>
    <w:rsid w:val="66352ACA"/>
    <w:rsid w:val="669F3089"/>
    <w:rsid w:val="66AA55F3"/>
    <w:rsid w:val="682F0B07"/>
    <w:rsid w:val="6B111E96"/>
    <w:rsid w:val="6D546514"/>
    <w:rsid w:val="6DC06EF7"/>
    <w:rsid w:val="754A6B49"/>
    <w:rsid w:val="76671F15"/>
    <w:rsid w:val="77692D2E"/>
    <w:rsid w:val="785A2014"/>
    <w:rsid w:val="7A7330D2"/>
    <w:rsid w:val="7D77745D"/>
    <w:rsid w:val="7E611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kern w:val="0"/>
      <w:sz w:val="24"/>
      <w:szCs w:val="20"/>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Plain Text"/>
    <w:basedOn w:val="1"/>
    <w:link w:val="15"/>
    <w:qFormat/>
    <w:uiPriority w:val="0"/>
    <w:pPr>
      <w:adjustRightInd/>
      <w:spacing w:line="240" w:lineRule="auto"/>
      <w:jc w:val="both"/>
      <w:textAlignment w:val="auto"/>
    </w:pPr>
    <w:rPr>
      <w:rFonts w:ascii="宋体" w:hAnsi="Courier New"/>
      <w:kern w:val="2"/>
      <w:sz w:val="21"/>
    </w:rPr>
  </w:style>
  <w:style w:type="paragraph" w:styleId="5">
    <w:name w:val="Balloon Text"/>
    <w:basedOn w:val="1"/>
    <w:link w:val="14"/>
    <w:semiHidden/>
    <w:unhideWhenUsed/>
    <w:qFormat/>
    <w:uiPriority w:val="99"/>
    <w:pPr>
      <w:spacing w:line="240" w:lineRule="auto"/>
    </w:pPr>
    <w:rPr>
      <w:sz w:val="18"/>
      <w:szCs w:val="18"/>
    </w:rPr>
  </w:style>
  <w:style w:type="paragraph" w:styleId="6">
    <w:name w:val="footer"/>
    <w:basedOn w:val="1"/>
    <w:link w:val="13"/>
    <w:unhideWhenUsed/>
    <w:qFormat/>
    <w:uiPriority w:val="99"/>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批注框文本 Char"/>
    <w:basedOn w:val="9"/>
    <w:link w:val="5"/>
    <w:semiHidden/>
    <w:qFormat/>
    <w:uiPriority w:val="99"/>
    <w:rPr>
      <w:rFonts w:ascii="Times New Roman" w:hAnsi="Times New Roman" w:eastAsia="宋体" w:cs="Times New Roman"/>
      <w:kern w:val="0"/>
      <w:sz w:val="18"/>
      <w:szCs w:val="18"/>
    </w:rPr>
  </w:style>
  <w:style w:type="character" w:customStyle="1" w:styleId="15">
    <w:name w:val="纯文本 Char"/>
    <w:basedOn w:val="9"/>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1549</Words>
  <Characters>1821</Characters>
  <Lines>12</Lines>
  <Paragraphs>3</Paragraphs>
  <TotalTime>1</TotalTime>
  <ScaleCrop>false</ScaleCrop>
  <LinksUpToDate>false</LinksUpToDate>
  <CharactersWithSpaces>2287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林滨</cp:lastModifiedBy>
  <dcterms:modified xsi:type="dcterms:W3CDTF">2025-12-25T08:57:16Z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B49D55A58942493988075E03570CCD8E</vt:lpwstr>
  </property>
  <property fmtid="{D5CDD505-2E9C-101B-9397-08002B2CF9AE}" pid="4" name="KSOTemplateDocerSaveRecord">
    <vt:lpwstr>eyJoZGlkIjoiMDcwOGUzMDdiZWZlMGQ0YWM3YjVmOWU2YjQyNjI0NTMiLCJ1c2VySWQiOiIxNjQ5NTAwMzQyIn0=</vt:lpwstr>
  </property>
</Properties>
</file>